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ind w:firstLine="0" w:firstLineChars="0"/>
        <w:jc w:val="center"/>
        <w:rPr>
          <w:rFonts w:ascii="黑体" w:hAnsi="黑体" w:eastAsia="黑体"/>
          <w:sz w:val="44"/>
          <w:szCs w:val="44"/>
        </w:rPr>
      </w:pPr>
      <w:bookmarkStart w:id="8" w:name="_GoBack"/>
      <w:bookmarkEnd w:id="8"/>
      <w:r>
        <w:rPr>
          <w:rFonts w:hint="eastAsia" w:ascii="黑体" w:hAnsi="黑体" w:eastAsia="黑体"/>
          <w:sz w:val="44"/>
          <w:szCs w:val="44"/>
        </w:rPr>
        <w:t>甘肃社会主义学院</w:t>
      </w:r>
    </w:p>
    <w:p>
      <w:pPr>
        <w:topLinePunct/>
        <w:ind w:firstLine="0" w:firstLineChars="0"/>
        <w:jc w:val="center"/>
        <w:rPr>
          <w:rFonts w:ascii="黑体" w:hAnsi="黑体" w:eastAsia="黑体"/>
          <w:sz w:val="44"/>
          <w:szCs w:val="44"/>
        </w:rPr>
      </w:pPr>
      <w:r>
        <w:rPr>
          <w:rFonts w:hint="eastAsia" w:ascii="黑体" w:hAnsi="黑体" w:eastAsia="黑体"/>
          <w:sz w:val="44"/>
          <w:szCs w:val="44"/>
        </w:rPr>
        <w:t>2022年度部门预算执行情况自评报告</w:t>
      </w:r>
    </w:p>
    <w:p>
      <w:pPr>
        <w:topLinePunct/>
        <w:ind w:firstLine="588" w:firstLineChars="210"/>
        <w:jc w:val="both"/>
        <w:rPr>
          <w:sz w:val="28"/>
          <w:szCs w:val="28"/>
        </w:rPr>
      </w:pPr>
    </w:p>
    <w:p>
      <w:pPr>
        <w:topLinePunct/>
        <w:spacing w:line="276" w:lineRule="auto"/>
        <w:ind w:firstLine="672" w:firstLineChars="210"/>
        <w:jc w:val="both"/>
        <w:rPr>
          <w:rFonts w:ascii="仿宋" w:hAnsi="仿宋" w:eastAsia="仿宋"/>
          <w:sz w:val="32"/>
          <w:szCs w:val="32"/>
        </w:rPr>
      </w:pPr>
      <w:r>
        <w:rPr>
          <w:rFonts w:hint="eastAsia" w:ascii="仿宋" w:hAnsi="仿宋" w:eastAsia="仿宋"/>
          <w:color w:val="000000" w:themeColor="text1"/>
          <w:sz w:val="32"/>
          <w:szCs w:val="32"/>
        </w:rPr>
        <w:t>根据甘肃省财政厅《关于开展2022年度省级预算执行情况绩效自评工作的通知》（甘财绩﹝2022﹞7号）文件精神</w:t>
      </w:r>
      <w:r>
        <w:rPr>
          <w:rFonts w:hint="eastAsia" w:ascii="仿宋" w:hAnsi="仿宋" w:eastAsia="仿宋"/>
          <w:sz w:val="32"/>
          <w:szCs w:val="32"/>
        </w:rPr>
        <w:t>，按照省委、省政府关于全面实施预算绩效管理的要求，</w:t>
      </w:r>
      <w:r>
        <w:rPr>
          <w:rFonts w:hint="eastAsia" w:ascii="仿宋" w:hAnsi="仿宋" w:eastAsia="仿宋" w:cs="仿宋"/>
          <w:sz w:val="32"/>
          <w:szCs w:val="32"/>
        </w:rPr>
        <w:t>甘肃社会主义学院认真组织，扎实开展了</w:t>
      </w:r>
      <w:r>
        <w:rPr>
          <w:rFonts w:hint="eastAsia" w:ascii="仿宋" w:hAnsi="仿宋" w:eastAsia="仿宋"/>
          <w:sz w:val="32"/>
          <w:szCs w:val="32"/>
        </w:rPr>
        <w:t>2022年度部门预算执行情况绩效</w:t>
      </w:r>
      <w:r>
        <w:rPr>
          <w:rFonts w:ascii="仿宋" w:hAnsi="仿宋" w:eastAsia="仿宋"/>
          <w:sz w:val="32"/>
          <w:szCs w:val="32"/>
        </w:rPr>
        <w:t>自评</w:t>
      </w:r>
      <w:r>
        <w:rPr>
          <w:rFonts w:hint="eastAsia" w:ascii="仿宋" w:hAnsi="仿宋" w:eastAsia="仿宋"/>
          <w:sz w:val="32"/>
          <w:szCs w:val="32"/>
        </w:rPr>
        <w:t>,现将自评情况报告如下</w:t>
      </w:r>
      <w:r>
        <w:rPr>
          <w:rFonts w:ascii="仿宋" w:hAnsi="仿宋" w:eastAsia="仿宋"/>
          <w:sz w:val="32"/>
          <w:szCs w:val="32"/>
        </w:rPr>
        <w:t>：</w:t>
      </w:r>
    </w:p>
    <w:p>
      <w:pPr>
        <w:topLinePunct/>
        <w:spacing w:line="276" w:lineRule="auto"/>
        <w:ind w:firstLine="640"/>
        <w:jc w:val="both"/>
        <w:rPr>
          <w:rFonts w:ascii="黑体" w:hAnsi="黑体" w:eastAsia="黑体"/>
          <w:sz w:val="32"/>
          <w:szCs w:val="32"/>
        </w:rPr>
      </w:pPr>
      <w:r>
        <w:rPr>
          <w:rFonts w:hint="eastAsia" w:ascii="黑体" w:hAnsi="黑体" w:eastAsia="黑体"/>
          <w:sz w:val="32"/>
          <w:szCs w:val="32"/>
        </w:rPr>
        <w:t>一、基本情况</w:t>
      </w:r>
    </w:p>
    <w:p>
      <w:pPr>
        <w:pStyle w:val="4"/>
        <w:spacing w:line="600" w:lineRule="exact"/>
        <w:ind w:firstLine="640"/>
        <w:jc w:val="both"/>
        <w:rPr>
          <w:rFonts w:eastAsia="仿宋"/>
          <w:color w:val="000000" w:themeColor="text1"/>
          <w:sz w:val="32"/>
          <w:szCs w:val="32"/>
        </w:rPr>
      </w:pPr>
      <w:r>
        <w:rPr>
          <w:rFonts w:eastAsia="仿宋"/>
          <w:color w:val="000000" w:themeColor="text1"/>
          <w:sz w:val="32"/>
          <w:szCs w:val="32"/>
        </w:rPr>
        <w:t>甘肃社会主义学院是中国共产党领导的统一战线性质的政治学院，是民主党派和无党派人士的联合党校，是甘肃省委和政府干部教育培训体系的重要组成部分，在党外代表人士教育培训工作中发挥着主渠道、主阵地作用。</w:t>
      </w:r>
      <w:r>
        <w:rPr>
          <w:rFonts w:hint="eastAsia" w:eastAsia="仿宋"/>
          <w:color w:val="000000" w:themeColor="text1"/>
          <w:sz w:val="32"/>
          <w:szCs w:val="32"/>
        </w:rPr>
        <w:t>甘肃社会主义学院是在1952年举办的甘肃省各界民主人士培训班的基础上组建的，1957年6月定名为“甘肃省各界民主人士政治学校”，1964年3月更名为“甘肃省政治学校”，“文革”中停办。1983年11月经甘肃省委批准复办，1985年1月定名为“甘肃社会主义学院”。2000年，经省委统战部批准、省教育厅备案，成立甘肃省中华文化学院，与甘肃社会主义学院“一套班子，两块牌子”。2016年，学院被明确为省委统战部指导和管理的省委直属事业单位。</w:t>
      </w:r>
    </w:p>
    <w:p>
      <w:pPr>
        <w:topLinePunct/>
        <w:spacing w:line="276" w:lineRule="auto"/>
        <w:ind w:firstLine="640"/>
        <w:jc w:val="both"/>
        <w:rPr>
          <w:rFonts w:ascii="仿宋" w:hAnsi="仿宋" w:eastAsia="仿宋" w:cs="仿宋"/>
          <w:color w:val="000000"/>
          <w:sz w:val="32"/>
          <w:szCs w:val="32"/>
        </w:rPr>
      </w:pPr>
      <w:r>
        <w:rPr>
          <w:rFonts w:hint="eastAsia" w:ascii="楷体" w:hAnsi="楷体" w:eastAsia="楷体" w:cs="仿宋"/>
          <w:sz w:val="32"/>
          <w:szCs w:val="32"/>
        </w:rPr>
        <w:t>（一）部门主要职能</w:t>
      </w:r>
    </w:p>
    <w:p>
      <w:pPr>
        <w:adjustRightInd w:val="0"/>
        <w:snapToGrid w:val="0"/>
        <w:spacing w:line="620" w:lineRule="exact"/>
        <w:ind w:firstLine="704" w:firstLineChars="220"/>
        <w:jc w:val="both"/>
        <w:rPr>
          <w:rFonts w:ascii="仿宋" w:hAnsi="仿宋" w:eastAsia="仿宋"/>
          <w:sz w:val="32"/>
          <w:szCs w:val="32"/>
        </w:rPr>
      </w:pPr>
      <w:r>
        <w:rPr>
          <w:rFonts w:hint="eastAsia" w:ascii="仿宋" w:hAnsi="仿宋" w:eastAsia="仿宋"/>
          <w:sz w:val="32"/>
          <w:szCs w:val="32"/>
        </w:rPr>
        <w:t>根据中共甘肃省委机构编制委员会《关于印发&lt;甘肃社会主义学院职能配置、内设机构和人员编制规定&gt;的通知》（甘编委发〔2020〕2号）规定，甘肃社会主义学院主要职责包括:</w:t>
      </w:r>
    </w:p>
    <w:p>
      <w:pPr>
        <w:adjustRightInd w:val="0"/>
        <w:snapToGrid w:val="0"/>
        <w:spacing w:line="620" w:lineRule="exact"/>
        <w:ind w:firstLine="704" w:firstLineChars="220"/>
        <w:jc w:val="both"/>
        <w:rPr>
          <w:rFonts w:ascii="仿宋" w:hAnsi="仿宋" w:eastAsia="仿宋"/>
          <w:sz w:val="32"/>
          <w:szCs w:val="32"/>
        </w:rPr>
      </w:pPr>
      <w:r>
        <w:rPr>
          <w:rFonts w:hint="eastAsia" w:ascii="仿宋" w:hAnsi="仿宋" w:eastAsia="仿宋"/>
          <w:sz w:val="32"/>
          <w:szCs w:val="32"/>
        </w:rPr>
        <w:t>（1）培训民主党派和无党派人士、统一战线其他领域代表人士，培训统战干部，培养统一战线理论研究人才，承办党委和政府举办的有关专题研讨班。</w:t>
      </w:r>
    </w:p>
    <w:p>
      <w:pPr>
        <w:adjustRightInd w:val="0"/>
        <w:snapToGrid w:val="0"/>
        <w:spacing w:line="620" w:lineRule="exact"/>
        <w:ind w:firstLine="704" w:firstLineChars="220"/>
        <w:jc w:val="both"/>
        <w:rPr>
          <w:rFonts w:ascii="仿宋" w:hAnsi="仿宋" w:eastAsia="仿宋"/>
          <w:sz w:val="32"/>
          <w:szCs w:val="32"/>
        </w:rPr>
      </w:pPr>
      <w:r>
        <w:rPr>
          <w:rFonts w:hint="eastAsia" w:ascii="仿宋" w:hAnsi="仿宋" w:eastAsia="仿宋"/>
          <w:sz w:val="32"/>
          <w:szCs w:val="32"/>
        </w:rPr>
        <w:t>（2）组织开展马克思列宁主义、毛泽东思想、邓小平理论、“三个代表”重要思想、科学发展观、习近平新时代中国特色社会主义思想，以及党的统一战线理论和方针政策的研究和宣传，推进理论创新。</w:t>
      </w:r>
    </w:p>
    <w:p>
      <w:pPr>
        <w:adjustRightInd w:val="0"/>
        <w:snapToGrid w:val="0"/>
        <w:spacing w:line="620" w:lineRule="exact"/>
        <w:ind w:firstLine="704" w:firstLineChars="220"/>
        <w:jc w:val="both"/>
        <w:rPr>
          <w:rFonts w:ascii="仿宋" w:hAnsi="仿宋" w:eastAsia="仿宋"/>
          <w:sz w:val="32"/>
          <w:szCs w:val="32"/>
        </w:rPr>
      </w:pPr>
      <w:r>
        <w:rPr>
          <w:rFonts w:hint="eastAsia" w:ascii="仿宋" w:hAnsi="仿宋" w:eastAsia="仿宋"/>
          <w:sz w:val="32"/>
          <w:szCs w:val="32"/>
        </w:rPr>
        <w:t>（3）组织开展决策咨询工作，为党委和政府决策服务。</w:t>
      </w:r>
    </w:p>
    <w:p>
      <w:pPr>
        <w:adjustRightInd w:val="0"/>
        <w:snapToGrid w:val="0"/>
        <w:spacing w:line="620" w:lineRule="exact"/>
        <w:ind w:firstLine="704" w:firstLineChars="220"/>
        <w:jc w:val="both"/>
        <w:rPr>
          <w:rFonts w:ascii="仿宋" w:hAnsi="仿宋" w:eastAsia="仿宋"/>
          <w:sz w:val="32"/>
          <w:szCs w:val="32"/>
        </w:rPr>
      </w:pPr>
      <w:r>
        <w:rPr>
          <w:rFonts w:hint="eastAsia" w:ascii="仿宋" w:hAnsi="仿宋" w:eastAsia="仿宋"/>
          <w:sz w:val="32"/>
          <w:szCs w:val="32"/>
        </w:rPr>
        <w:t>（4）组织开展中华文化的教育、研究和对外交流。</w:t>
      </w:r>
    </w:p>
    <w:p>
      <w:pPr>
        <w:adjustRightInd w:val="0"/>
        <w:snapToGrid w:val="0"/>
        <w:spacing w:line="620" w:lineRule="exact"/>
        <w:ind w:firstLine="704" w:firstLineChars="220"/>
        <w:jc w:val="both"/>
        <w:rPr>
          <w:rFonts w:ascii="仿宋" w:hAnsi="仿宋" w:eastAsia="仿宋"/>
          <w:sz w:val="32"/>
          <w:szCs w:val="32"/>
        </w:rPr>
      </w:pPr>
      <w:r>
        <w:rPr>
          <w:rFonts w:hint="eastAsia" w:ascii="仿宋" w:hAnsi="仿宋" w:eastAsia="仿宋"/>
          <w:sz w:val="32"/>
          <w:szCs w:val="32"/>
        </w:rPr>
        <w:t>（5）指导市（州）社会主义学院业务工作。</w:t>
      </w:r>
    </w:p>
    <w:p>
      <w:pPr>
        <w:adjustRightInd w:val="0"/>
        <w:snapToGrid w:val="0"/>
        <w:spacing w:line="620" w:lineRule="exact"/>
        <w:ind w:firstLine="704" w:firstLineChars="220"/>
        <w:jc w:val="both"/>
        <w:rPr>
          <w:rFonts w:ascii="仿宋" w:hAnsi="仿宋" w:eastAsia="仿宋"/>
          <w:sz w:val="32"/>
          <w:szCs w:val="32"/>
        </w:rPr>
      </w:pPr>
      <w:r>
        <w:rPr>
          <w:rFonts w:hint="eastAsia" w:ascii="仿宋" w:hAnsi="仿宋" w:eastAsia="仿宋"/>
          <w:sz w:val="32"/>
          <w:szCs w:val="32"/>
        </w:rPr>
        <w:t>（6）开展联谊交友。</w:t>
      </w:r>
    </w:p>
    <w:p>
      <w:pPr>
        <w:adjustRightInd w:val="0"/>
        <w:snapToGrid w:val="0"/>
        <w:spacing w:line="620" w:lineRule="exact"/>
        <w:ind w:firstLine="704" w:firstLineChars="220"/>
        <w:jc w:val="both"/>
        <w:rPr>
          <w:rFonts w:ascii="仿宋" w:hAnsi="仿宋" w:eastAsia="仿宋"/>
          <w:sz w:val="32"/>
          <w:szCs w:val="32"/>
        </w:rPr>
      </w:pPr>
      <w:r>
        <w:rPr>
          <w:rFonts w:hint="eastAsia" w:ascii="仿宋" w:hAnsi="仿宋" w:eastAsia="仿宋"/>
          <w:sz w:val="32"/>
          <w:szCs w:val="32"/>
        </w:rPr>
        <w:t>（7）完成省委交办的其他任务。</w:t>
      </w:r>
    </w:p>
    <w:p>
      <w:pPr>
        <w:topLinePunct/>
        <w:spacing w:line="276" w:lineRule="auto"/>
        <w:ind w:firstLine="640"/>
        <w:jc w:val="both"/>
        <w:rPr>
          <w:rFonts w:ascii="楷体" w:hAnsi="楷体" w:eastAsia="楷体" w:cs="仿宋"/>
          <w:sz w:val="32"/>
          <w:szCs w:val="32"/>
        </w:rPr>
      </w:pPr>
      <w:r>
        <w:rPr>
          <w:rFonts w:hint="eastAsia" w:ascii="楷体" w:hAnsi="楷体" w:eastAsia="楷体" w:cs="仿宋"/>
          <w:sz w:val="32"/>
          <w:szCs w:val="32"/>
        </w:rPr>
        <w:t>（二）内设机构及所属单位概况</w:t>
      </w:r>
    </w:p>
    <w:p>
      <w:pPr>
        <w:pStyle w:val="4"/>
        <w:spacing w:line="600" w:lineRule="exact"/>
        <w:ind w:firstLine="64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学院内设机构14个，分别为：办公室、教务处、科研处、组织人事处、财务处、培训进修处、文化交流处、统一战线理论教研部、民族宗教教研部、中华文化教研部、宣传信息中心、学报编辑部、后勤服务中心、机关党委（纪委）。</w:t>
      </w:r>
    </w:p>
    <w:p>
      <w:pPr>
        <w:topLinePunct/>
        <w:spacing w:line="276" w:lineRule="auto"/>
        <w:ind w:firstLine="640"/>
        <w:jc w:val="both"/>
        <w:rPr>
          <w:rFonts w:ascii="黑体" w:hAnsi="黑体" w:eastAsia="黑体" w:cs="Times New Roman"/>
          <w:sz w:val="32"/>
          <w:szCs w:val="32"/>
        </w:rPr>
      </w:pPr>
      <w:r>
        <w:rPr>
          <w:rFonts w:hint="eastAsia" w:ascii="黑体" w:hAnsi="黑体" w:eastAsia="黑体" w:cs="Times New Roman"/>
          <w:sz w:val="32"/>
          <w:szCs w:val="32"/>
        </w:rPr>
        <w:t>二、绩效自评工作组织开展情况</w:t>
      </w:r>
      <w:r>
        <w:rPr>
          <w:rFonts w:hint="eastAsia" w:ascii="黑体" w:hAnsi="黑体" w:eastAsia="黑体" w:cs="Times New Roman"/>
          <w:sz w:val="32"/>
          <w:szCs w:val="32"/>
        </w:rPr>
        <w:tab/>
      </w:r>
    </w:p>
    <w:p>
      <w:pPr>
        <w:ind w:firstLine="640"/>
        <w:jc w:val="both"/>
        <w:rPr>
          <w:rFonts w:ascii="仿宋" w:hAnsi="仿宋" w:eastAsia="仿宋"/>
          <w:sz w:val="32"/>
          <w:szCs w:val="32"/>
        </w:rPr>
      </w:pPr>
      <w:r>
        <w:rPr>
          <w:rFonts w:hint="eastAsia" w:ascii="仿宋" w:hAnsi="仿宋" w:eastAsia="仿宋"/>
          <w:sz w:val="32"/>
          <w:szCs w:val="32"/>
        </w:rPr>
        <w:t>甘肃社会主义学院及时安排部署绩效自评工作，由财务处牵头，教务处、科研处、后勤服务中心等相关部门配合，并指定1名工作人员专门负责整体绩效评价工作的组织协调和具体开展。按照《通知》</w:t>
      </w:r>
      <w:r>
        <w:rPr>
          <w:rFonts w:ascii="仿宋" w:hAnsi="仿宋" w:eastAsia="仿宋"/>
          <w:sz w:val="32"/>
          <w:szCs w:val="32"/>
        </w:rPr>
        <w:t>要求，</w:t>
      </w:r>
      <w:r>
        <w:rPr>
          <w:rFonts w:hint="eastAsia" w:ascii="仿宋" w:hAnsi="仿宋" w:eastAsia="仿宋"/>
          <w:sz w:val="32"/>
          <w:szCs w:val="32"/>
        </w:rPr>
        <w:t>根据预算执行情况，收集、分析、整理资料，根据评价目的和评价内容，认真学习相关政策法规，详细制定绩效评价方案，</w:t>
      </w:r>
      <w:r>
        <w:rPr>
          <w:rFonts w:ascii="仿宋" w:hAnsi="仿宋" w:eastAsia="仿宋"/>
          <w:sz w:val="32"/>
          <w:szCs w:val="32"/>
        </w:rPr>
        <w:t>按照评价指标、评价标准和评价规则等自评指标体系，</w:t>
      </w:r>
      <w:r>
        <w:rPr>
          <w:rFonts w:hint="eastAsia" w:ascii="仿宋" w:hAnsi="仿宋" w:eastAsia="仿宋"/>
          <w:sz w:val="32"/>
          <w:szCs w:val="32"/>
        </w:rPr>
        <w:t>对部门整体支出绩效目标和项目支出绩效目标完成情况进行对比分析，并对未完成的指标进行了偏差原因分析，提出改进措施。</w:t>
      </w:r>
    </w:p>
    <w:p>
      <w:pPr>
        <w:topLinePunct/>
        <w:spacing w:line="276" w:lineRule="auto"/>
        <w:ind w:firstLine="640"/>
        <w:jc w:val="both"/>
        <w:rPr>
          <w:rFonts w:ascii="仿宋" w:hAnsi="仿宋" w:eastAsia="仿宋"/>
          <w:sz w:val="32"/>
          <w:szCs w:val="32"/>
        </w:rPr>
      </w:pPr>
      <w:r>
        <w:rPr>
          <w:rFonts w:hint="eastAsia" w:ascii="仿宋" w:hAnsi="仿宋" w:eastAsia="仿宋"/>
          <w:sz w:val="32"/>
          <w:szCs w:val="32"/>
        </w:rPr>
        <w:t>纳入20</w:t>
      </w:r>
      <w:r>
        <w:rPr>
          <w:rFonts w:ascii="仿宋" w:hAnsi="仿宋" w:eastAsia="仿宋"/>
          <w:sz w:val="32"/>
          <w:szCs w:val="32"/>
        </w:rPr>
        <w:t>2</w:t>
      </w:r>
      <w:r>
        <w:rPr>
          <w:rFonts w:hint="eastAsia" w:ascii="仿宋" w:hAnsi="仿宋" w:eastAsia="仿宋"/>
          <w:sz w:val="32"/>
          <w:szCs w:val="32"/>
        </w:rPr>
        <w:t>2年整体支出绩效目标自评范围的单位有1个，即甘肃社会主义学院。资金</w:t>
      </w:r>
      <w:r>
        <w:rPr>
          <w:rFonts w:ascii="仿宋" w:hAnsi="仿宋" w:eastAsia="仿宋"/>
          <w:sz w:val="32"/>
          <w:szCs w:val="32"/>
        </w:rPr>
        <w:t>涵盖我</w:t>
      </w:r>
      <w:r>
        <w:rPr>
          <w:rFonts w:hint="eastAsia" w:ascii="仿宋" w:hAnsi="仿宋" w:eastAsia="仿宋"/>
          <w:sz w:val="32"/>
          <w:szCs w:val="32"/>
        </w:rPr>
        <w:t>院2022年度</w:t>
      </w:r>
      <w:r>
        <w:rPr>
          <w:rFonts w:ascii="仿宋" w:hAnsi="仿宋" w:eastAsia="仿宋"/>
          <w:sz w:val="32"/>
          <w:szCs w:val="32"/>
        </w:rPr>
        <w:t>预算</w:t>
      </w:r>
      <w:r>
        <w:rPr>
          <w:rFonts w:hint="eastAsia" w:ascii="仿宋" w:hAnsi="仿宋" w:eastAsia="仿宋"/>
          <w:sz w:val="32"/>
          <w:szCs w:val="32"/>
        </w:rPr>
        <w:t>年初</w:t>
      </w:r>
      <w:r>
        <w:rPr>
          <w:rFonts w:ascii="仿宋" w:hAnsi="仿宋" w:eastAsia="仿宋"/>
          <w:sz w:val="32"/>
          <w:szCs w:val="32"/>
        </w:rPr>
        <w:t>安排</w:t>
      </w:r>
      <w:r>
        <w:rPr>
          <w:rFonts w:hint="eastAsia" w:ascii="仿宋" w:hAnsi="仿宋" w:eastAsia="仿宋"/>
          <w:sz w:val="32"/>
          <w:szCs w:val="32"/>
        </w:rPr>
        <w:t>及当年</w:t>
      </w:r>
      <w:r>
        <w:rPr>
          <w:rFonts w:ascii="仿宋" w:hAnsi="仿宋" w:eastAsia="仿宋"/>
          <w:sz w:val="32"/>
          <w:szCs w:val="32"/>
        </w:rPr>
        <w:t>追加的各类基本支出及项目支出资金</w:t>
      </w:r>
      <w:r>
        <w:rPr>
          <w:rFonts w:hint="eastAsia" w:ascii="仿宋" w:hAnsi="仿宋" w:eastAsia="仿宋"/>
          <w:sz w:val="32"/>
          <w:szCs w:val="32"/>
        </w:rPr>
        <w:t>，2022年我院较20</w:t>
      </w:r>
      <w:r>
        <w:rPr>
          <w:rFonts w:ascii="仿宋" w:hAnsi="仿宋" w:eastAsia="仿宋"/>
          <w:sz w:val="32"/>
          <w:szCs w:val="32"/>
        </w:rPr>
        <w:t>2</w:t>
      </w:r>
      <w:r>
        <w:rPr>
          <w:rFonts w:hint="eastAsia" w:ascii="仿宋" w:hAnsi="仿宋" w:eastAsia="仿宋"/>
          <w:sz w:val="32"/>
          <w:szCs w:val="32"/>
        </w:rPr>
        <w:t>1年减少预算资金505.29万元，减少的主要原因是人员经费和公用经费相应减少，以及项目支出减少。本次评价涉及基本支出和1个项目支出，资金</w:t>
      </w:r>
      <w:r>
        <w:rPr>
          <w:rFonts w:hint="eastAsia" w:ascii="仿宋" w:hAnsi="仿宋" w:eastAsia="仿宋" w:cs="宋体"/>
          <w:sz w:val="32"/>
          <w:szCs w:val="32"/>
        </w:rPr>
        <w:t>共计2242.17万元。</w:t>
      </w:r>
    </w:p>
    <w:p>
      <w:pPr>
        <w:topLinePunct/>
        <w:spacing w:line="276" w:lineRule="auto"/>
        <w:ind w:firstLine="646" w:firstLineChars="202"/>
        <w:jc w:val="both"/>
        <w:rPr>
          <w:rFonts w:ascii="仿宋" w:hAnsi="仿宋" w:eastAsia="仿宋" w:cs="宋体"/>
          <w:sz w:val="32"/>
          <w:szCs w:val="32"/>
        </w:rPr>
      </w:pPr>
      <w:r>
        <w:rPr>
          <w:rFonts w:hint="eastAsia" w:ascii="仿宋" w:hAnsi="仿宋" w:eastAsia="仿宋" w:cs="宋体"/>
          <w:sz w:val="32"/>
          <w:szCs w:val="32"/>
        </w:rPr>
        <w:t>通过及时布置相关部门对自己所管理</w:t>
      </w:r>
      <w:r>
        <w:rPr>
          <w:rFonts w:ascii="仿宋" w:hAnsi="仿宋" w:eastAsia="仿宋" w:cs="宋体"/>
          <w:sz w:val="32"/>
          <w:szCs w:val="32"/>
        </w:rPr>
        <w:t>项目</w:t>
      </w:r>
      <w:r>
        <w:rPr>
          <w:rFonts w:hint="eastAsia" w:ascii="仿宋" w:hAnsi="仿宋" w:eastAsia="仿宋" w:cs="宋体"/>
          <w:sz w:val="32"/>
          <w:szCs w:val="32"/>
        </w:rPr>
        <w:t>内容进行自评，组织人员对各项目逐一进行具体情况核实，确保自评项目符合各项要求，自评信息准确、佐证资料完整，自评结果真实、有效。在各部门积极配合、协同作战的情况下，共同按时完成了评价工作。</w:t>
      </w:r>
    </w:p>
    <w:p>
      <w:pPr>
        <w:topLinePunct/>
        <w:spacing w:line="276" w:lineRule="auto"/>
        <w:ind w:firstLine="640"/>
        <w:jc w:val="both"/>
        <w:rPr>
          <w:rFonts w:ascii="仿宋" w:hAnsi="仿宋" w:eastAsia="仿宋"/>
          <w:sz w:val="32"/>
          <w:szCs w:val="32"/>
        </w:rPr>
      </w:pPr>
      <w:r>
        <w:rPr>
          <w:rFonts w:hint="eastAsia" w:ascii="仿宋" w:hAnsi="仿宋" w:eastAsia="仿宋"/>
          <w:sz w:val="32"/>
          <w:szCs w:val="32"/>
        </w:rPr>
        <w:t>各</w:t>
      </w:r>
      <w:r>
        <w:rPr>
          <w:rFonts w:ascii="仿宋" w:hAnsi="仿宋" w:eastAsia="仿宋"/>
          <w:sz w:val="32"/>
          <w:szCs w:val="32"/>
        </w:rPr>
        <w:t>项目</w:t>
      </w:r>
      <w:r>
        <w:rPr>
          <w:rFonts w:hint="eastAsia" w:ascii="仿宋" w:hAnsi="仿宋" w:eastAsia="仿宋"/>
          <w:sz w:val="32"/>
          <w:szCs w:val="32"/>
        </w:rPr>
        <w:t>部门整体能按照项目方案和申报的绩效目标组织实施并进行</w:t>
      </w:r>
      <w:r>
        <w:rPr>
          <w:rFonts w:ascii="仿宋" w:hAnsi="仿宋" w:eastAsia="仿宋"/>
          <w:sz w:val="32"/>
          <w:szCs w:val="32"/>
        </w:rPr>
        <w:t>管理</w:t>
      </w:r>
      <w:r>
        <w:rPr>
          <w:rFonts w:hint="eastAsia" w:ascii="仿宋" w:hAnsi="仿宋" w:eastAsia="仿宋"/>
          <w:sz w:val="32"/>
          <w:szCs w:val="32"/>
        </w:rPr>
        <w:t>，严格执行项目相关管理办法，遵循科学公正、统筹兼顾、激励约束和公开透明的原则，以甘肃社会主义学院2022年初设定的绩效目标及相关法律法规、政策要求、行业规划、部门职责等为依据，运用定量和定性相结合的评价方法，对甘肃社会主义学院2022年度省级预算执行情况的合规性、效率性、效益性进行客观公正的分析评价。执行</w:t>
      </w:r>
      <w:r>
        <w:rPr>
          <w:rFonts w:ascii="仿宋" w:hAnsi="仿宋" w:eastAsia="仿宋"/>
          <w:sz w:val="32"/>
          <w:szCs w:val="32"/>
        </w:rPr>
        <w:t>的规定依据</w:t>
      </w:r>
      <w:r>
        <w:rPr>
          <w:rFonts w:hint="eastAsia" w:ascii="仿宋" w:hAnsi="仿宋" w:eastAsia="仿宋"/>
          <w:sz w:val="32"/>
          <w:szCs w:val="32"/>
        </w:rPr>
        <w:t>主要</w:t>
      </w:r>
      <w:r>
        <w:rPr>
          <w:rFonts w:ascii="仿宋" w:hAnsi="仿宋" w:eastAsia="仿宋"/>
          <w:sz w:val="32"/>
          <w:szCs w:val="32"/>
        </w:rPr>
        <w:t>包括：</w:t>
      </w:r>
    </w:p>
    <w:p>
      <w:pPr>
        <w:topLinePunct/>
        <w:spacing w:line="276" w:lineRule="auto"/>
        <w:ind w:firstLine="640"/>
        <w:jc w:val="both"/>
        <w:rPr>
          <w:rFonts w:ascii="仿宋" w:hAnsi="仿宋" w:eastAsia="仿宋" w:cs="宋体"/>
          <w:sz w:val="32"/>
          <w:szCs w:val="32"/>
        </w:rPr>
      </w:pPr>
      <w:r>
        <w:rPr>
          <w:rFonts w:hint="eastAsia" w:ascii="仿宋" w:hAnsi="仿宋" w:eastAsia="仿宋" w:cs="宋体"/>
          <w:sz w:val="32"/>
          <w:szCs w:val="32"/>
        </w:rPr>
        <w:t>1.</w:t>
      </w:r>
      <w:r>
        <w:rPr>
          <w:rFonts w:hint="eastAsia" w:ascii="仿宋" w:hAnsi="仿宋" w:eastAsia="仿宋" w:cs="Helvetica"/>
          <w:color w:val="000000"/>
          <w:kern w:val="0"/>
          <w:sz w:val="32"/>
          <w:szCs w:val="32"/>
        </w:rPr>
        <w:t>财政部《财政支出绩效评价管理暂行办法》（财预〔20</w:t>
      </w:r>
      <w:r>
        <w:rPr>
          <w:rFonts w:ascii="仿宋" w:hAnsi="仿宋" w:eastAsia="仿宋" w:cs="Helvetica"/>
          <w:color w:val="000000"/>
          <w:kern w:val="0"/>
          <w:sz w:val="32"/>
          <w:szCs w:val="32"/>
        </w:rPr>
        <w:t>1</w:t>
      </w:r>
      <w:r>
        <w:rPr>
          <w:rFonts w:hint="eastAsia" w:ascii="仿宋" w:hAnsi="仿宋" w:eastAsia="仿宋" w:cs="Helvetica"/>
          <w:color w:val="000000"/>
          <w:kern w:val="0"/>
          <w:sz w:val="32"/>
          <w:szCs w:val="32"/>
        </w:rPr>
        <w:t>1〕285号）；</w:t>
      </w:r>
    </w:p>
    <w:p>
      <w:pPr>
        <w:topLinePunct/>
        <w:spacing w:line="276" w:lineRule="auto"/>
        <w:ind w:firstLine="646" w:firstLineChars="202"/>
        <w:jc w:val="both"/>
        <w:rPr>
          <w:rFonts w:ascii="仿宋" w:hAnsi="仿宋" w:eastAsia="仿宋"/>
          <w:color w:val="000000" w:themeColor="text1"/>
          <w:sz w:val="32"/>
          <w:szCs w:val="32"/>
        </w:rPr>
      </w:pPr>
      <w:r>
        <w:rPr>
          <w:rFonts w:hint="eastAsia" w:ascii="仿宋" w:hAnsi="仿宋" w:eastAsia="仿宋" w:cs="宋体"/>
          <w:sz w:val="32"/>
          <w:szCs w:val="32"/>
        </w:rPr>
        <w:t>2.</w:t>
      </w:r>
      <w:r>
        <w:rPr>
          <w:rFonts w:hint="eastAsia" w:ascii="仿宋" w:hAnsi="仿宋" w:eastAsia="仿宋"/>
          <w:color w:val="000000" w:themeColor="text1"/>
          <w:sz w:val="32"/>
          <w:szCs w:val="32"/>
        </w:rPr>
        <w:t>甘肃省财政厅《关于开展2022年度省级预算执行情况绩效评价工作的通知》（甘财绩﹝2022﹞7号）。</w:t>
      </w:r>
    </w:p>
    <w:p>
      <w:pPr>
        <w:topLinePunct/>
        <w:spacing w:line="276" w:lineRule="auto"/>
        <w:ind w:firstLine="640"/>
        <w:jc w:val="both"/>
        <w:rPr>
          <w:rFonts w:ascii="黑体" w:hAnsi="黑体" w:eastAsia="黑体" w:cs="宋体"/>
          <w:sz w:val="32"/>
          <w:szCs w:val="32"/>
        </w:rPr>
      </w:pPr>
      <w:r>
        <w:rPr>
          <w:rFonts w:hint="eastAsia" w:ascii="黑体" w:hAnsi="黑体" w:eastAsia="黑体" w:cs="宋体"/>
          <w:sz w:val="32"/>
          <w:szCs w:val="32"/>
        </w:rPr>
        <w:t>三、部门整体支出绩效自评情况分析</w:t>
      </w:r>
      <w:r>
        <w:rPr>
          <w:rFonts w:hint="eastAsia" w:ascii="黑体" w:hAnsi="黑体" w:eastAsia="黑体" w:cs="宋体"/>
          <w:sz w:val="32"/>
          <w:szCs w:val="32"/>
        </w:rPr>
        <w:tab/>
      </w:r>
    </w:p>
    <w:p>
      <w:pPr>
        <w:topLinePunct/>
        <w:spacing w:line="276" w:lineRule="auto"/>
        <w:ind w:firstLine="480" w:firstLineChars="150"/>
        <w:jc w:val="both"/>
        <w:rPr>
          <w:rFonts w:ascii="楷体" w:hAnsi="楷体" w:eastAsia="楷体" w:cs="宋体"/>
          <w:sz w:val="32"/>
          <w:szCs w:val="32"/>
        </w:rPr>
      </w:pPr>
      <w:r>
        <w:rPr>
          <w:rFonts w:hint="eastAsia" w:ascii="楷体" w:hAnsi="楷体" w:eastAsia="楷体" w:cs="宋体"/>
          <w:sz w:val="32"/>
          <w:szCs w:val="32"/>
        </w:rPr>
        <w:t>（一）部门预决算情况</w:t>
      </w:r>
      <w:bookmarkStart w:id="0" w:name="_Toc8806"/>
    </w:p>
    <w:p>
      <w:pPr>
        <w:topLinePunct/>
        <w:spacing w:line="276" w:lineRule="auto"/>
        <w:ind w:firstLine="482" w:firstLineChars="150"/>
        <w:jc w:val="both"/>
        <w:rPr>
          <w:rFonts w:ascii="仿宋" w:hAnsi="仿宋" w:eastAsia="仿宋"/>
          <w:b/>
          <w:bCs/>
          <w:sz w:val="32"/>
          <w:szCs w:val="32"/>
        </w:rPr>
      </w:pPr>
      <w:r>
        <w:rPr>
          <w:rFonts w:hint="eastAsia" w:ascii="仿宋" w:hAnsi="仿宋" w:eastAsia="仿宋"/>
          <w:b/>
          <w:sz w:val="32"/>
          <w:szCs w:val="32"/>
        </w:rPr>
        <w:t>1.</w:t>
      </w:r>
      <w:r>
        <w:rPr>
          <w:rFonts w:hint="eastAsia" w:ascii="仿宋" w:hAnsi="仿宋" w:eastAsia="仿宋"/>
          <w:b/>
          <w:bCs/>
          <w:sz w:val="32"/>
          <w:szCs w:val="32"/>
        </w:rPr>
        <w:t>单位整体支出预算安排</w:t>
      </w:r>
      <w:bookmarkEnd w:id="0"/>
    </w:p>
    <w:p>
      <w:pPr>
        <w:pStyle w:val="6"/>
        <w:topLinePunct/>
        <w:spacing w:line="276" w:lineRule="auto"/>
        <w:ind w:firstLine="640"/>
        <w:jc w:val="both"/>
        <w:rPr>
          <w:rFonts w:ascii="仿宋" w:hAnsi="仿宋" w:eastAsia="仿宋"/>
          <w:sz w:val="32"/>
          <w:szCs w:val="32"/>
        </w:rPr>
      </w:pPr>
      <w:r>
        <w:rPr>
          <w:rFonts w:hint="eastAsia" w:ascii="仿宋" w:hAnsi="仿宋" w:eastAsia="仿宋"/>
          <w:sz w:val="32"/>
          <w:szCs w:val="32"/>
        </w:rPr>
        <w:t>2022年初甘肃省财政厅批复甘肃社会主义学院2022年度财政拨款预算</w:t>
      </w:r>
      <w:r>
        <w:rPr>
          <w:rFonts w:ascii="仿宋" w:hAnsi="仿宋" w:eastAsia="仿宋"/>
          <w:sz w:val="32"/>
          <w:szCs w:val="32"/>
        </w:rPr>
        <w:t>涉及</w:t>
      </w:r>
      <w:r>
        <w:rPr>
          <w:rFonts w:hint="eastAsia" w:ascii="仿宋" w:hAnsi="仿宋" w:eastAsia="仿宋"/>
          <w:sz w:val="32"/>
          <w:szCs w:val="32"/>
        </w:rPr>
        <w:t>本次</w:t>
      </w:r>
      <w:r>
        <w:rPr>
          <w:rFonts w:ascii="仿宋" w:hAnsi="仿宋" w:eastAsia="仿宋"/>
          <w:sz w:val="32"/>
          <w:szCs w:val="32"/>
        </w:rPr>
        <w:t>绩效评价金额共计</w:t>
      </w:r>
      <w:r>
        <w:rPr>
          <w:rFonts w:hint="eastAsia" w:ascii="仿宋" w:hAnsi="仿宋" w:eastAsia="仿宋"/>
          <w:sz w:val="32"/>
          <w:szCs w:val="32"/>
        </w:rPr>
        <w:t>2315.50万元，其中：基本支出1715.50万元，占年度整体支出预算的74.09%，项目支出600万元，占年度整体支出预算的25.91%</w:t>
      </w:r>
      <w:r>
        <w:rPr>
          <w:rFonts w:ascii="仿宋" w:hAnsi="仿宋" w:eastAsia="仿宋"/>
          <w:sz w:val="32"/>
          <w:szCs w:val="32"/>
        </w:rPr>
        <w:t>。</w:t>
      </w:r>
      <w:bookmarkStart w:id="1" w:name="_Toc31466"/>
    </w:p>
    <w:p>
      <w:pPr>
        <w:pStyle w:val="6"/>
        <w:topLinePunct/>
        <w:spacing w:line="276" w:lineRule="auto"/>
        <w:ind w:firstLine="643"/>
        <w:jc w:val="both"/>
        <w:rPr>
          <w:rFonts w:ascii="仿宋" w:hAnsi="仿宋" w:eastAsia="仿宋"/>
          <w:b/>
          <w:sz w:val="32"/>
          <w:szCs w:val="32"/>
        </w:rPr>
      </w:pPr>
      <w:r>
        <w:rPr>
          <w:rFonts w:hint="eastAsia" w:ascii="仿宋" w:hAnsi="仿宋" w:eastAsia="仿宋"/>
          <w:b/>
          <w:sz w:val="32"/>
          <w:szCs w:val="32"/>
        </w:rPr>
        <w:t>2.单位整体支出决算情况</w:t>
      </w:r>
      <w:bookmarkEnd w:id="1"/>
    </w:p>
    <w:p>
      <w:pPr>
        <w:pStyle w:val="6"/>
        <w:topLinePunct/>
        <w:spacing w:line="276" w:lineRule="auto"/>
        <w:ind w:firstLine="640"/>
        <w:jc w:val="both"/>
        <w:rPr>
          <w:rFonts w:ascii="仿宋" w:hAnsi="仿宋" w:eastAsia="仿宋"/>
          <w:sz w:val="32"/>
          <w:szCs w:val="32"/>
        </w:rPr>
      </w:pPr>
      <w:r>
        <w:rPr>
          <w:rFonts w:hint="eastAsia" w:ascii="仿宋" w:hAnsi="仿宋" w:eastAsia="仿宋"/>
          <w:sz w:val="32"/>
          <w:szCs w:val="32"/>
        </w:rPr>
        <w:t>2022年末部门决算中</w:t>
      </w:r>
      <w:r>
        <w:rPr>
          <w:rFonts w:ascii="仿宋" w:hAnsi="仿宋" w:eastAsia="仿宋"/>
          <w:sz w:val="32"/>
          <w:szCs w:val="32"/>
        </w:rPr>
        <w:t>涉及</w:t>
      </w:r>
      <w:r>
        <w:rPr>
          <w:rFonts w:hint="eastAsia" w:ascii="仿宋" w:hAnsi="仿宋" w:eastAsia="仿宋"/>
          <w:sz w:val="32"/>
          <w:szCs w:val="32"/>
        </w:rPr>
        <w:t>本次</w:t>
      </w:r>
      <w:r>
        <w:rPr>
          <w:rFonts w:ascii="仿宋" w:hAnsi="仿宋" w:eastAsia="仿宋"/>
          <w:sz w:val="32"/>
          <w:szCs w:val="32"/>
        </w:rPr>
        <w:t>绩效评价实际执行金额共计</w:t>
      </w:r>
      <w:r>
        <w:rPr>
          <w:rFonts w:hint="eastAsia" w:ascii="仿宋" w:hAnsi="仿宋" w:eastAsia="仿宋"/>
          <w:sz w:val="32"/>
          <w:szCs w:val="32"/>
        </w:rPr>
        <w:t>2242.17万元。其中：基本支出1834.89万元，包括</w:t>
      </w:r>
      <w:r>
        <w:rPr>
          <w:rFonts w:ascii="仿宋" w:hAnsi="仿宋" w:eastAsia="仿宋"/>
          <w:sz w:val="32"/>
          <w:szCs w:val="32"/>
        </w:rPr>
        <w:t>年中以项目形式下达</w:t>
      </w:r>
      <w:r>
        <w:rPr>
          <w:rFonts w:hint="eastAsia" w:ascii="仿宋" w:hAnsi="仿宋" w:eastAsia="仿宋"/>
          <w:sz w:val="32"/>
          <w:szCs w:val="32"/>
        </w:rPr>
        <w:t>的</w:t>
      </w:r>
      <w:r>
        <w:rPr>
          <w:rFonts w:ascii="仿宋" w:hAnsi="仿宋" w:eastAsia="仿宋"/>
          <w:sz w:val="32"/>
          <w:szCs w:val="32"/>
        </w:rPr>
        <w:t>死亡抚恤6</w:t>
      </w:r>
      <w:r>
        <w:rPr>
          <w:rFonts w:hint="eastAsia" w:ascii="仿宋" w:hAnsi="仿宋" w:eastAsia="仿宋"/>
          <w:sz w:val="32"/>
          <w:szCs w:val="32"/>
        </w:rPr>
        <w:t>.</w:t>
      </w:r>
      <w:r>
        <w:rPr>
          <w:rFonts w:ascii="仿宋" w:hAnsi="仿宋" w:eastAsia="仿宋"/>
          <w:sz w:val="32"/>
          <w:szCs w:val="32"/>
        </w:rPr>
        <w:t>13</w:t>
      </w:r>
      <w:r>
        <w:rPr>
          <w:rFonts w:hint="eastAsia" w:ascii="仿宋" w:hAnsi="仿宋" w:eastAsia="仿宋"/>
          <w:sz w:val="32"/>
          <w:szCs w:val="32"/>
        </w:rPr>
        <w:t>万元</w:t>
      </w:r>
      <w:r>
        <w:rPr>
          <w:rFonts w:ascii="仿宋" w:hAnsi="仿宋" w:eastAsia="仿宋"/>
          <w:sz w:val="32"/>
          <w:szCs w:val="32"/>
        </w:rPr>
        <w:t>和遗属生活困难补助</w:t>
      </w:r>
      <w:r>
        <w:rPr>
          <w:rFonts w:hint="eastAsia" w:ascii="仿宋" w:hAnsi="仿宋" w:eastAsia="仿宋"/>
          <w:sz w:val="32"/>
          <w:szCs w:val="32"/>
        </w:rPr>
        <w:t>1.32万元</w:t>
      </w:r>
      <w:r>
        <w:rPr>
          <w:rFonts w:ascii="仿宋" w:hAnsi="仿宋" w:eastAsia="仿宋"/>
          <w:sz w:val="32"/>
          <w:szCs w:val="32"/>
        </w:rPr>
        <w:t>，因是人员经费决算时列为基本支出</w:t>
      </w:r>
      <w:r>
        <w:rPr>
          <w:rFonts w:hint="eastAsia" w:ascii="仿宋" w:hAnsi="仿宋" w:eastAsia="仿宋"/>
          <w:sz w:val="32"/>
          <w:szCs w:val="32"/>
        </w:rPr>
        <w:t>，国库实际支付1827.44万元。项目支出407.28万元</w:t>
      </w:r>
      <w:r>
        <w:rPr>
          <w:rFonts w:ascii="仿宋" w:hAnsi="仿宋" w:eastAsia="仿宋"/>
          <w:sz w:val="32"/>
          <w:szCs w:val="32"/>
        </w:rPr>
        <w:t>。</w:t>
      </w:r>
    </w:p>
    <w:p>
      <w:pPr>
        <w:topLinePunct/>
        <w:spacing w:line="276" w:lineRule="auto"/>
        <w:ind w:firstLine="640"/>
        <w:jc w:val="both"/>
        <w:textAlignment w:val="baseline"/>
        <w:rPr>
          <w:rFonts w:ascii="楷体" w:hAnsi="楷体" w:eastAsia="楷体"/>
          <w:sz w:val="32"/>
          <w:szCs w:val="32"/>
        </w:rPr>
      </w:pPr>
      <w:r>
        <w:rPr>
          <w:rFonts w:hint="eastAsia" w:ascii="楷体" w:hAnsi="楷体" w:eastAsia="楷体"/>
          <w:sz w:val="32"/>
          <w:szCs w:val="32"/>
        </w:rPr>
        <w:t>（二）总体绩效目标完成情况分析</w:t>
      </w:r>
    </w:p>
    <w:p>
      <w:pPr>
        <w:ind w:firstLine="800" w:firstLineChars="250"/>
        <w:rPr>
          <w:rFonts w:ascii="仿宋" w:hAnsi="仿宋" w:eastAsia="仿宋"/>
          <w:sz w:val="32"/>
          <w:szCs w:val="32"/>
        </w:rPr>
      </w:pPr>
      <w:r>
        <w:rPr>
          <w:rFonts w:hint="eastAsia" w:ascii="仿宋" w:hAnsi="仿宋" w:eastAsia="仿宋"/>
          <w:sz w:val="32"/>
          <w:szCs w:val="32"/>
        </w:rPr>
        <w:t>2022年，在省委的坚强领导和省委统战部的有力指导下，甘肃社会主义学院</w:t>
      </w:r>
      <w:r>
        <w:rPr>
          <w:rFonts w:ascii="仿宋" w:hAnsi="仿宋" w:eastAsia="仿宋" w:cs="Times New Roman"/>
          <w:sz w:val="32"/>
          <w:szCs w:val="32"/>
        </w:rPr>
        <w:t>坚持以习近平新时代中国特色社会主义思想为指引，</w:t>
      </w:r>
      <w:r>
        <w:rPr>
          <w:rFonts w:hint="eastAsia" w:ascii="仿宋" w:hAnsi="仿宋" w:eastAsia="仿宋" w:cs="Times New Roman"/>
          <w:sz w:val="32"/>
          <w:szCs w:val="32"/>
        </w:rPr>
        <w:t>以迎接、宣传、学习、贯彻党的二十大精神为主线，</w:t>
      </w:r>
      <w:r>
        <w:rPr>
          <w:rFonts w:ascii="仿宋" w:hAnsi="仿宋" w:eastAsia="仿宋" w:cs="Times New Roman"/>
          <w:sz w:val="32"/>
          <w:szCs w:val="32"/>
        </w:rPr>
        <w:t>深入学习贯彻习近平总书记关于做好新时代党的统一战线工作的重要思想，</w:t>
      </w:r>
      <w:r>
        <w:rPr>
          <w:rFonts w:hint="eastAsia" w:ascii="仿宋" w:hAnsi="仿宋" w:eastAsia="仿宋" w:cs="Times New Roman"/>
          <w:sz w:val="32"/>
          <w:szCs w:val="32"/>
        </w:rPr>
        <w:t>狠抓《中国共产党统一战线工作条例》和《社会主义学院工作条例》的贯彻落实，紧扣省委中心工作，围绕省委统战工作部署，立足社院职能定位，深入谋划发展举措，统筹推动教学科研和管理服务等重点任务落地见效，为全省统一战线教育培训事业发展、</w:t>
      </w:r>
      <w:r>
        <w:rPr>
          <w:rFonts w:hint="eastAsia" w:ascii="仿宋" w:hAnsi="仿宋" w:eastAsia="仿宋"/>
          <w:sz w:val="32"/>
          <w:szCs w:val="32"/>
        </w:rPr>
        <w:t>谱写全面建设社会主义现代化幸福美好新甘肃贡献社院力量。全年</w:t>
      </w:r>
      <w:r>
        <w:rPr>
          <w:rFonts w:ascii="仿宋" w:hAnsi="仿宋" w:eastAsia="仿宋"/>
          <w:sz w:val="32"/>
          <w:szCs w:val="32"/>
        </w:rPr>
        <w:t>绩效目标实际</w:t>
      </w:r>
      <w:r>
        <w:rPr>
          <w:rFonts w:hint="eastAsia" w:ascii="仿宋" w:hAnsi="仿宋" w:eastAsia="仿宋"/>
          <w:sz w:val="32"/>
          <w:szCs w:val="32"/>
        </w:rPr>
        <w:t>完成</w:t>
      </w:r>
      <w:r>
        <w:rPr>
          <w:rFonts w:ascii="仿宋" w:hAnsi="仿宋" w:eastAsia="仿宋"/>
          <w:sz w:val="32"/>
          <w:szCs w:val="32"/>
        </w:rPr>
        <w:t>情况</w:t>
      </w:r>
      <w:r>
        <w:rPr>
          <w:rFonts w:hint="eastAsia" w:ascii="仿宋" w:hAnsi="仿宋" w:eastAsia="仿宋"/>
          <w:sz w:val="32"/>
          <w:szCs w:val="32"/>
        </w:rPr>
        <w:t>如下</w:t>
      </w:r>
      <w:r>
        <w:rPr>
          <w:rFonts w:ascii="仿宋" w:hAnsi="仿宋" w:eastAsia="仿宋"/>
          <w:sz w:val="32"/>
          <w:szCs w:val="32"/>
        </w:rPr>
        <w:t>：</w:t>
      </w:r>
    </w:p>
    <w:p>
      <w:pPr>
        <w:ind w:firstLine="640"/>
        <w:jc w:val="both"/>
        <w:textAlignment w:val="baseline"/>
        <w:rPr>
          <w:rStyle w:val="30"/>
          <w:rFonts w:ascii="仿宋" w:hAnsi="仿宋" w:eastAsia="仿宋" w:cs="仿宋"/>
          <w:color w:val="000000"/>
          <w:sz w:val="32"/>
          <w:szCs w:val="32"/>
        </w:rPr>
      </w:pPr>
      <w:r>
        <w:rPr>
          <w:rFonts w:hint="eastAsia" w:ascii="仿宋" w:hAnsi="仿宋" w:eastAsia="仿宋"/>
          <w:sz w:val="32"/>
          <w:szCs w:val="32"/>
        </w:rPr>
        <w:t>1.</w:t>
      </w:r>
      <w:r>
        <w:rPr>
          <w:rFonts w:hint="eastAsia" w:ascii="仿宋" w:hAnsi="仿宋" w:eastAsia="仿宋" w:cs="Times New Roman"/>
          <w:sz w:val="32"/>
          <w:szCs w:val="32"/>
        </w:rPr>
        <w:t xml:space="preserve"> 持续深化理论武装，夯实党建主体责任，落实意识形态责任制，强化思想引领。</w:t>
      </w:r>
      <w:r>
        <w:rPr>
          <w:rStyle w:val="30"/>
          <w:rFonts w:hint="eastAsia" w:ascii="仿宋" w:hAnsi="仿宋" w:eastAsia="仿宋"/>
          <w:sz w:val="32"/>
          <w:szCs w:val="32"/>
          <w:lang w:val="zh-CN"/>
        </w:rPr>
        <w:t>始终把学懂弄通做实习近平新时代中国特色社会主义思想作为首要政治任务，贯穿于学习培训和研讨交流始终，跟进学习习近平总书记最新重要讲话和指示批示精神，持续深化</w:t>
      </w:r>
      <w:r>
        <w:rPr>
          <w:rFonts w:ascii="仿宋" w:hAnsi="仿宋" w:eastAsia="仿宋" w:cs="Times New Roman"/>
          <w:sz w:val="32"/>
          <w:szCs w:val="32"/>
        </w:rPr>
        <w:t>习近平总书记关于做好新时代党的统一战线工作的重要思想</w:t>
      </w:r>
      <w:r>
        <w:rPr>
          <w:rFonts w:hint="eastAsia" w:ascii="仿宋" w:hAnsi="仿宋" w:eastAsia="仿宋" w:cs="Times New Roman"/>
          <w:sz w:val="32"/>
          <w:szCs w:val="32"/>
        </w:rPr>
        <w:t>学习研究，共</w:t>
      </w:r>
      <w:r>
        <w:rPr>
          <w:rFonts w:hint="eastAsia" w:ascii="仿宋" w:hAnsi="仿宋" w:eastAsia="仿宋" w:cs="仿宋_GB2312"/>
          <w:sz w:val="32"/>
          <w:szCs w:val="32"/>
        </w:rPr>
        <w:t>组织召开党组理论学习中心组会议19次，其中研讨交流11次，专题辅导1次。研究制定《院党组关于学习宣传贯彻党的二十大精神的通知》，拓宽学习渠道，创建“甘肃社院研讨交流群”，围绕7个专题开展学习研讨交流，有序有力推进党的二十大精神的学习贯彻，推进党的创新理论常态化学习，形成理论文章2</w:t>
      </w:r>
      <w:r>
        <w:rPr>
          <w:rFonts w:ascii="仿宋" w:hAnsi="仿宋" w:eastAsia="仿宋" w:cs="仿宋_GB2312"/>
          <w:sz w:val="32"/>
          <w:szCs w:val="32"/>
        </w:rPr>
        <w:t>00</w:t>
      </w:r>
      <w:r>
        <w:rPr>
          <w:rFonts w:hint="eastAsia" w:ascii="仿宋" w:hAnsi="仿宋" w:eastAsia="仿宋" w:cs="仿宋_GB2312"/>
          <w:sz w:val="32"/>
          <w:szCs w:val="32"/>
        </w:rPr>
        <w:t>余篇，编印资料汇编3册。同时，利用“三会一课”、学习强国、甘肃党建等载体和个人自学、集体研学等形式强化理论武装，</w:t>
      </w:r>
      <w:r>
        <w:rPr>
          <w:rFonts w:hint="eastAsia" w:ascii="仿宋" w:hAnsi="仿宋" w:eastAsia="仿宋"/>
          <w:sz w:val="32"/>
          <w:szCs w:val="32"/>
        </w:rPr>
        <w:t>动员年轻干部学习研究小组、干部教师认真开展调研讨论、课题研究，提交研究论文5篇，其中，3篇分获省直机关党建理论研究一、二、三等奖</w:t>
      </w:r>
      <w:r>
        <w:rPr>
          <w:rFonts w:hint="eastAsia" w:ascii="仿宋" w:hAnsi="仿宋" w:eastAsia="仿宋" w:cs="仿宋_GB2312"/>
          <w:sz w:val="32"/>
          <w:szCs w:val="32"/>
        </w:rPr>
        <w:t>，不断推动学习习近平新时代中国特色社会主义思想走深走实、入脑入心。</w:t>
      </w:r>
      <w:r>
        <w:rPr>
          <w:rFonts w:hint="eastAsia" w:ascii="仿宋" w:hAnsi="仿宋" w:eastAsia="仿宋"/>
          <w:sz w:val="32"/>
          <w:szCs w:val="32"/>
        </w:rPr>
        <w:t>压紧全面从严治党责任。坚决落实党风廉政建设责任制，召开学院</w:t>
      </w:r>
      <w:r>
        <w:rPr>
          <w:rFonts w:ascii="仿宋" w:hAnsi="仿宋" w:eastAsia="仿宋"/>
          <w:sz w:val="32"/>
          <w:szCs w:val="32"/>
        </w:rPr>
        <w:t>2022</w:t>
      </w:r>
      <w:r>
        <w:rPr>
          <w:rFonts w:hint="eastAsia" w:ascii="仿宋" w:hAnsi="仿宋" w:eastAsia="仿宋"/>
          <w:sz w:val="32"/>
          <w:szCs w:val="32"/>
        </w:rPr>
        <w:t>年全面从严治党暨党风廉政建设工作会议，印发《学院2022年党风廉政建设和反腐败工作要点》及《工作任务台账》，强化领导班子成员责任担当，切实履行全面从严治党“一岗双责”责任。</w:t>
      </w:r>
      <w:r>
        <w:rPr>
          <w:rFonts w:ascii="仿宋" w:hAnsi="仿宋" w:eastAsia="仿宋"/>
          <w:sz w:val="32"/>
          <w:szCs w:val="32"/>
        </w:rPr>
        <w:t>落实意识形态责任</w:t>
      </w:r>
      <w:r>
        <w:rPr>
          <w:rFonts w:hint="eastAsia" w:ascii="仿宋" w:hAnsi="仿宋" w:eastAsia="仿宋"/>
          <w:sz w:val="32"/>
          <w:szCs w:val="32"/>
        </w:rPr>
        <w:t>制</w:t>
      </w:r>
      <w:r>
        <w:rPr>
          <w:rFonts w:ascii="仿宋" w:hAnsi="仿宋" w:eastAsia="仿宋"/>
          <w:sz w:val="32"/>
          <w:szCs w:val="32"/>
        </w:rPr>
        <w:t>。</w:t>
      </w:r>
      <w:r>
        <w:rPr>
          <w:rFonts w:hint="eastAsia" w:ascii="仿宋" w:hAnsi="仿宋" w:eastAsia="仿宋" w:cs="仿宋_GB2312"/>
          <w:bCs/>
          <w:color w:val="000000"/>
          <w:sz w:val="32"/>
          <w:szCs w:val="32"/>
        </w:rPr>
        <w:t>院党组专题听取宣传思想和意识形态工作汇报，研究解决存在的短板</w:t>
      </w:r>
      <w:r>
        <w:rPr>
          <w:rFonts w:hint="eastAsia" w:ascii="仿宋" w:hAnsi="仿宋" w:eastAsia="仿宋" w:cs="仿宋_GB2312"/>
          <w:color w:val="000000"/>
          <w:sz w:val="32"/>
          <w:szCs w:val="32"/>
        </w:rPr>
        <w:t>，召开2022年学院宣传思想暨意识形态工作会</w:t>
      </w:r>
      <w:r>
        <w:rPr>
          <w:rFonts w:hint="eastAsia" w:ascii="仿宋" w:hAnsi="仿宋" w:eastAsia="仿宋" w:cs="仿宋_GB2312"/>
          <w:color w:val="000000"/>
          <w:kern w:val="0"/>
          <w:sz w:val="32"/>
          <w:szCs w:val="32"/>
        </w:rPr>
        <w:t>，全面安排部署宣传思想和意识形态工作，层层签订责任书，压实工作责任；</w:t>
      </w:r>
      <w:r>
        <w:rPr>
          <w:rFonts w:hint="eastAsia" w:ascii="仿宋" w:hAnsi="仿宋" w:eastAsia="仿宋" w:cs="仿宋_GB2312"/>
          <w:color w:val="000000"/>
          <w:sz w:val="32"/>
          <w:szCs w:val="32"/>
        </w:rPr>
        <w:t>制定印发《2022年度学院宣传思想暨意识形态工作要点》，严格执行“四个一同”、“三个纳入”要求。</w:t>
      </w:r>
    </w:p>
    <w:p>
      <w:pPr>
        <w:ind w:firstLine="640"/>
        <w:jc w:val="both"/>
        <w:rPr>
          <w:rFonts w:ascii="楷体" w:hAnsi="楷体" w:eastAsia="楷体" w:cs="Times New Roman"/>
          <w:b/>
          <w:sz w:val="32"/>
          <w:szCs w:val="32"/>
        </w:rPr>
      </w:pPr>
      <w:r>
        <w:rPr>
          <w:rFonts w:hint="eastAsia" w:ascii="仿宋" w:hAnsi="仿宋" w:eastAsia="仿宋"/>
          <w:sz w:val="32"/>
          <w:szCs w:val="32"/>
        </w:rPr>
        <w:t>2.</w:t>
      </w:r>
      <w:r>
        <w:rPr>
          <w:rFonts w:hint="eastAsia" w:ascii="仿宋" w:hAnsi="仿宋" w:eastAsia="仿宋" w:cs="仿宋_GB2312"/>
          <w:sz w:val="32"/>
          <w:szCs w:val="32"/>
        </w:rPr>
        <w:t>优化教学布局，突出培训特色。</w:t>
      </w:r>
      <w:r>
        <w:rPr>
          <w:rFonts w:hint="eastAsia" w:ascii="仿宋" w:hAnsi="仿宋" w:eastAsia="仿宋" w:cs="Times New Roman"/>
          <w:sz w:val="32"/>
          <w:szCs w:val="32"/>
        </w:rPr>
        <w:t>2022年共举办各类培训班32期，参训人员2374人（次），培训范围覆盖民主党派和无党派人士、党外知识分子、民族宗教人士、非公有制经济人士、新的社会阶层人士、统战干部等统战领域的方方面面。突出政治培训。把深入学习习近平新时代中国特色社会主义思想作为培训最大主题，所有班次均开设“习近平新时代中国特色社会主义思想”“习近平总书记关于做好新时代党的统一战线工作的重要思想”等系列核心课程，开发《紧扣“十个新”学习贯彻党的二十大精神，做好新时代统一战线工作》《党的二十大报告解读》《中国共产党统一战线工作条例》《中央统战工作会议精神解读》等专题课程，及时准确全面的把中央精神和重大决策部署进讲义、进课堂、进头脑。加强联合办学。充分利用统一战线资源，发挥联合党校优势，邀请具有丰富统战理论和工作经验的省委统战部、省级民主党派省委会有关负责同志来院授课36人（次），进一步增强培训的现实针对性。完善课程体系。坚持把课程体系建设作为提高教学质量的重要抓手。通过试讲、课堂锻炼等打造新课程，不断丰富完善课程库，形成了2022年课程菜单目录，打造了“政治共识”“文化认同”“能力素质”“案例教学”“访谈教学</w:t>
      </w:r>
      <w:r>
        <w:rPr>
          <w:rFonts w:ascii="仿宋" w:hAnsi="仿宋" w:eastAsia="仿宋" w:cs="Times New Roman"/>
          <w:sz w:val="32"/>
          <w:szCs w:val="32"/>
        </w:rPr>
        <w:t>”</w:t>
      </w:r>
      <w:r>
        <w:rPr>
          <w:rFonts w:hint="eastAsia" w:ascii="仿宋" w:hAnsi="仿宋" w:eastAsia="仿宋" w:cs="Times New Roman"/>
          <w:sz w:val="32"/>
          <w:szCs w:val="32"/>
        </w:rPr>
        <w:t>“实践教学”等6大板块的课程累计97门，并根据不同培训班次和培训对象，开设学员讲堂、经典诵读，促进教学相长、学学相长。</w:t>
      </w:r>
    </w:p>
    <w:p>
      <w:pPr>
        <w:snapToGrid w:val="0"/>
        <w:ind w:firstLine="640"/>
        <w:jc w:val="both"/>
        <w:rPr>
          <w:rFonts w:ascii="仿宋" w:hAnsi="仿宋" w:eastAsia="仿宋"/>
          <w:sz w:val="32"/>
          <w:szCs w:val="32"/>
        </w:rPr>
      </w:pPr>
      <w:r>
        <w:rPr>
          <w:rFonts w:hint="eastAsia" w:ascii="仿宋" w:hAnsi="仿宋" w:eastAsia="仿宋" w:cs="仿宋_GB2312"/>
          <w:sz w:val="32"/>
          <w:szCs w:val="32"/>
        </w:rPr>
        <w:t>3.科研成果质量提升，发挥好统战理论研究智库作用。</w:t>
      </w:r>
      <w:r>
        <w:rPr>
          <w:rFonts w:hint="eastAsia" w:ascii="仿宋" w:hAnsi="仿宋" w:eastAsia="仿宋" w:cs="Times New Roman"/>
          <w:sz w:val="32"/>
          <w:szCs w:val="32"/>
        </w:rPr>
        <w:t>狠抓课题研究立项。全年在期刊公开发表论文10篇，提交甘肃省高质量论坛参会论文30篇；申报院外各类课题32项，其中</w:t>
      </w:r>
      <w:r>
        <w:rPr>
          <w:rFonts w:ascii="仿宋" w:hAnsi="仿宋" w:eastAsia="仿宋" w:cs="Times New Roman"/>
          <w:sz w:val="32"/>
          <w:szCs w:val="32"/>
        </w:rPr>
        <w:t>3</w:t>
      </w:r>
      <w:r>
        <w:rPr>
          <w:rFonts w:hint="eastAsia" w:ascii="仿宋" w:hAnsi="仿宋" w:eastAsia="仿宋" w:cs="Times New Roman"/>
          <w:sz w:val="32"/>
          <w:szCs w:val="32"/>
        </w:rPr>
        <w:t>项立项省部级课题，</w:t>
      </w:r>
      <w:r>
        <w:rPr>
          <w:rFonts w:ascii="仿宋" w:hAnsi="仿宋" w:eastAsia="仿宋" w:cs="Times New Roman"/>
          <w:sz w:val="32"/>
          <w:szCs w:val="32"/>
        </w:rPr>
        <w:t>5</w:t>
      </w:r>
      <w:r>
        <w:rPr>
          <w:rFonts w:hint="eastAsia" w:ascii="仿宋" w:hAnsi="仿宋" w:eastAsia="仿宋" w:cs="Times New Roman"/>
          <w:sz w:val="32"/>
          <w:szCs w:val="32"/>
        </w:rPr>
        <w:t>项立项市厅级课题；完成2021年度和3项中长期课题结项工作；完成</w:t>
      </w:r>
      <w:r>
        <w:rPr>
          <w:rFonts w:ascii="仿宋" w:hAnsi="仿宋" w:eastAsia="仿宋" w:cs="Times New Roman"/>
          <w:sz w:val="32"/>
          <w:szCs w:val="32"/>
        </w:rPr>
        <w:t>9</w:t>
      </w:r>
      <w:r>
        <w:rPr>
          <w:rFonts w:hint="eastAsia" w:ascii="仿宋" w:hAnsi="仿宋" w:eastAsia="仿宋" w:cs="Times New Roman"/>
          <w:sz w:val="32"/>
          <w:szCs w:val="32"/>
        </w:rPr>
        <w:t>项学院招标课题立项工作；完成1</w:t>
      </w:r>
      <w:r>
        <w:rPr>
          <w:rFonts w:ascii="仿宋" w:hAnsi="仿宋" w:eastAsia="仿宋" w:cs="Times New Roman"/>
          <w:sz w:val="32"/>
          <w:szCs w:val="32"/>
        </w:rPr>
        <w:t>4</w:t>
      </w:r>
      <w:r>
        <w:rPr>
          <w:rFonts w:hint="eastAsia" w:ascii="仿宋" w:hAnsi="仿宋" w:eastAsia="仿宋" w:cs="Times New Roman"/>
          <w:sz w:val="32"/>
          <w:szCs w:val="32"/>
        </w:rPr>
        <w:t>项2</w:t>
      </w:r>
      <w:r>
        <w:rPr>
          <w:rFonts w:ascii="仿宋" w:hAnsi="仿宋" w:eastAsia="仿宋" w:cs="Times New Roman"/>
          <w:sz w:val="32"/>
          <w:szCs w:val="32"/>
        </w:rPr>
        <w:t>022</w:t>
      </w:r>
      <w:r>
        <w:rPr>
          <w:rFonts w:hint="eastAsia" w:ascii="仿宋" w:hAnsi="仿宋" w:eastAsia="仿宋" w:cs="Times New Roman"/>
          <w:sz w:val="32"/>
          <w:szCs w:val="32"/>
        </w:rPr>
        <w:t>年基层统战工作问题调研课题立项工作，较好地彰显了科研促教、科研资政的作用。发挥统战理论研究智库作用。编发《甘肃统战理论研究》4期；打造</w:t>
      </w:r>
      <w:r>
        <w:rPr>
          <w:rFonts w:hint="eastAsia" w:ascii="仿宋" w:hAnsi="仿宋" w:eastAsia="仿宋"/>
          <w:sz w:val="32"/>
          <w:szCs w:val="32"/>
        </w:rPr>
        <w:t>学院智库建言平台，创设《咨政参考》，精选学院优秀科研成果进行摘编，刊印6期报相关部门及领导参考；畅通科研资政渠道，组织科研人员开展即时性资政研究，及时报送相关单位；统合基层社院资政力量，充实学院科研资政研究力量，进一步强化了省、市（州）社院的科研联动。</w:t>
      </w:r>
    </w:p>
    <w:p>
      <w:pPr>
        <w:shd w:val="clear" w:color="auto" w:fill="FFFFFF"/>
        <w:ind w:firstLine="640"/>
        <w:jc w:val="both"/>
        <w:rPr>
          <w:rFonts w:ascii="仿宋" w:hAnsi="仿宋" w:eastAsia="仿宋"/>
          <w:sz w:val="32"/>
          <w:szCs w:val="32"/>
        </w:rPr>
      </w:pPr>
      <w:r>
        <w:rPr>
          <w:rFonts w:hint="eastAsia" w:ascii="仿宋" w:hAnsi="仿宋" w:eastAsia="仿宋"/>
          <w:sz w:val="32"/>
          <w:szCs w:val="32"/>
        </w:rPr>
        <w:t>4.加强同市州社院的科研协作。举办“弘扬黄河文化·坚定文化自信，助推甘肃高质量发展”研讨会，</w:t>
      </w:r>
      <w:r>
        <w:rPr>
          <w:rFonts w:hint="eastAsia" w:ascii="仿宋" w:hAnsi="仿宋" w:eastAsia="仿宋" w:cs="仿宋"/>
          <w:kern w:val="0"/>
          <w:sz w:val="32"/>
          <w:szCs w:val="32"/>
          <w:shd w:val="clear" w:color="auto" w:fill="FFFFFF"/>
        </w:rPr>
        <w:t>邀请省内外致力于黄河文化研究的专家学者解读</w:t>
      </w:r>
      <w:r>
        <w:rPr>
          <w:rFonts w:ascii="仿宋" w:hAnsi="仿宋" w:eastAsia="仿宋" w:cs="仿宋"/>
          <w:kern w:val="0"/>
          <w:sz w:val="32"/>
          <w:szCs w:val="32"/>
          <w:shd w:val="clear" w:color="auto" w:fill="FFFFFF"/>
        </w:rPr>
        <w:t>黄河文化</w:t>
      </w:r>
      <w:r>
        <w:rPr>
          <w:rFonts w:hint="eastAsia" w:ascii="仿宋" w:hAnsi="仿宋" w:eastAsia="仿宋" w:cs="仿宋"/>
          <w:kern w:val="0"/>
          <w:sz w:val="32"/>
          <w:szCs w:val="32"/>
          <w:shd w:val="clear" w:color="auto" w:fill="FFFFFF"/>
        </w:rPr>
        <w:t>深刻</w:t>
      </w:r>
      <w:r>
        <w:rPr>
          <w:rFonts w:ascii="仿宋" w:hAnsi="仿宋" w:eastAsia="仿宋" w:cs="仿宋"/>
          <w:kern w:val="0"/>
          <w:sz w:val="32"/>
          <w:szCs w:val="32"/>
          <w:shd w:val="clear" w:color="auto" w:fill="FFFFFF"/>
        </w:rPr>
        <w:t>内涵，探索黄河文化时代价值，讲好</w:t>
      </w:r>
      <w:r>
        <w:rPr>
          <w:rFonts w:hint="eastAsia" w:ascii="仿宋" w:hAnsi="仿宋" w:eastAsia="仿宋" w:cs="仿宋"/>
          <w:kern w:val="0"/>
          <w:sz w:val="32"/>
          <w:szCs w:val="32"/>
          <w:shd w:val="clear" w:color="auto" w:fill="FFFFFF"/>
        </w:rPr>
        <w:t>黄河文化</w:t>
      </w:r>
      <w:r>
        <w:rPr>
          <w:rFonts w:ascii="仿宋" w:hAnsi="仿宋" w:eastAsia="仿宋" w:cs="仿宋"/>
          <w:kern w:val="0"/>
          <w:sz w:val="32"/>
          <w:szCs w:val="32"/>
          <w:shd w:val="clear" w:color="auto" w:fill="FFFFFF"/>
        </w:rPr>
        <w:t>的故事，</w:t>
      </w:r>
      <w:r>
        <w:rPr>
          <w:rFonts w:hint="eastAsia" w:ascii="仿宋" w:hAnsi="仿宋" w:eastAsia="仿宋" w:cs="仿宋"/>
          <w:kern w:val="0"/>
          <w:sz w:val="32"/>
          <w:szCs w:val="32"/>
          <w:shd w:val="clear" w:color="auto" w:fill="FFFFFF"/>
        </w:rPr>
        <w:t>献计黄河流域生态保护和高质量发展，收集100篇论文编印成册，呈送相关部门参阅。</w:t>
      </w:r>
      <w:r>
        <w:rPr>
          <w:rFonts w:hint="eastAsia" w:ascii="仿宋" w:hAnsi="仿宋" w:eastAsia="仿宋"/>
          <w:sz w:val="32"/>
          <w:szCs w:val="32"/>
        </w:rPr>
        <w:t>参与举办“中国天水2022年伏羲文化与铸牢中华民族共同体意识研讨会”，为广泛宣传弘扬甘肃优秀传统文化发挥了应有的积极作用。学院教师论文《永远跟党走，奋进新征程—铸牢中华民族共同体意识》被中宣部评为优秀理论宣讲报告。</w:t>
      </w:r>
    </w:p>
    <w:p>
      <w:pPr>
        <w:shd w:val="clear" w:color="auto" w:fill="FFFFFF"/>
        <w:ind w:firstLine="640"/>
        <w:jc w:val="both"/>
        <w:rPr>
          <w:rFonts w:ascii="仿宋" w:hAnsi="仿宋" w:eastAsia="仿宋"/>
          <w:kern w:val="0"/>
          <w:sz w:val="32"/>
          <w:szCs w:val="32"/>
        </w:rPr>
      </w:pPr>
      <w:r>
        <w:rPr>
          <w:rFonts w:hint="eastAsia" w:ascii="仿宋" w:hAnsi="仿宋" w:eastAsia="仿宋" w:cs="仿宋_GB2312"/>
          <w:sz w:val="32"/>
          <w:szCs w:val="32"/>
        </w:rPr>
        <w:t>5.强化服务保障，抓防控重常态筑牢安全堤坝。</w:t>
      </w:r>
      <w:r>
        <w:rPr>
          <w:rFonts w:ascii="仿宋" w:hAnsi="仿宋" w:eastAsia="仿宋" w:cs="仿宋_GB2312"/>
          <w:sz w:val="32"/>
          <w:szCs w:val="32"/>
        </w:rPr>
        <w:t>加强</w:t>
      </w:r>
      <w:r>
        <w:rPr>
          <w:rFonts w:hint="eastAsia" w:ascii="仿宋" w:hAnsi="仿宋" w:eastAsia="仿宋" w:cs="仿宋_GB2312"/>
          <w:sz w:val="32"/>
          <w:szCs w:val="32"/>
        </w:rPr>
        <w:t>内部规范管理，</w:t>
      </w:r>
      <w:r>
        <w:rPr>
          <w:rFonts w:ascii="仿宋" w:hAnsi="仿宋" w:eastAsia="仿宋" w:cs="仿宋_GB2312"/>
          <w:sz w:val="32"/>
          <w:szCs w:val="32"/>
        </w:rPr>
        <w:t>紧紧围绕教学、科研中心工作，保质保量地</w:t>
      </w:r>
      <w:r>
        <w:rPr>
          <w:rFonts w:ascii="仿宋" w:hAnsi="仿宋" w:eastAsia="仿宋"/>
          <w:sz w:val="32"/>
          <w:szCs w:val="32"/>
        </w:rPr>
        <w:t>完成各项工作任务</w:t>
      </w:r>
      <w:r>
        <w:rPr>
          <w:rFonts w:hint="eastAsia" w:ascii="仿宋" w:hAnsi="仿宋" w:eastAsia="仿宋"/>
          <w:sz w:val="32"/>
          <w:szCs w:val="32"/>
        </w:rPr>
        <w:t>，进一步加强财务内控、后勤保障、办文办会、机要保密、宣传信息等规范管理工作，</w:t>
      </w:r>
      <w:r>
        <w:rPr>
          <w:rFonts w:ascii="仿宋" w:hAnsi="仿宋" w:eastAsia="仿宋"/>
          <w:sz w:val="32"/>
          <w:szCs w:val="32"/>
        </w:rPr>
        <w:t>圆满完成各类</w:t>
      </w:r>
      <w:r>
        <w:rPr>
          <w:rFonts w:hint="eastAsia" w:ascii="仿宋" w:hAnsi="仿宋" w:eastAsia="仿宋"/>
          <w:sz w:val="32"/>
          <w:szCs w:val="32"/>
        </w:rPr>
        <w:t>培训</w:t>
      </w:r>
      <w:r>
        <w:rPr>
          <w:rFonts w:ascii="仿宋" w:hAnsi="仿宋" w:eastAsia="仿宋"/>
          <w:sz w:val="32"/>
          <w:szCs w:val="32"/>
        </w:rPr>
        <w:t>班次和</w:t>
      </w:r>
      <w:r>
        <w:rPr>
          <w:rFonts w:hint="eastAsia" w:ascii="仿宋" w:hAnsi="仿宋" w:eastAsia="仿宋"/>
          <w:sz w:val="32"/>
          <w:szCs w:val="32"/>
        </w:rPr>
        <w:t>会务保障</w:t>
      </w:r>
      <w:r>
        <w:rPr>
          <w:rFonts w:ascii="仿宋" w:hAnsi="仿宋" w:eastAsia="仿宋"/>
          <w:sz w:val="32"/>
          <w:szCs w:val="32"/>
        </w:rPr>
        <w:t>服务工作</w:t>
      </w:r>
      <w:r>
        <w:rPr>
          <w:rFonts w:hint="eastAsia" w:ascii="仿宋" w:hAnsi="仿宋" w:eastAsia="仿宋"/>
          <w:sz w:val="32"/>
          <w:szCs w:val="32"/>
        </w:rPr>
        <w:t>，做到精细化管理、全流程服务</w:t>
      </w:r>
      <w:r>
        <w:rPr>
          <w:rFonts w:ascii="仿宋" w:hAnsi="仿宋" w:eastAsia="仿宋"/>
          <w:sz w:val="32"/>
          <w:szCs w:val="32"/>
        </w:rPr>
        <w:t>。</w:t>
      </w:r>
      <w:r>
        <w:rPr>
          <w:rFonts w:hint="eastAsia" w:ascii="仿宋" w:hAnsi="仿宋" w:eastAsia="仿宋"/>
          <w:kern w:val="0"/>
          <w:sz w:val="32"/>
          <w:szCs w:val="32"/>
        </w:rPr>
        <w:t>加强疫情防控，坚持第九版、落实“二十条”“新十条”，严格落实省市区三级防控要求，压实“四方责任”，做实联防联控，制定下发各阶段防控预案、应急处置方案，在安宁西路街道和枣林路社区的指导配合下，抓紧抓实抓细疫情防控工作，确保参训学院和院内教职工的身体健康。</w:t>
      </w:r>
    </w:p>
    <w:p>
      <w:pPr>
        <w:autoSpaceDE w:val="0"/>
        <w:autoSpaceDN w:val="0"/>
        <w:adjustRightInd w:val="0"/>
        <w:ind w:firstLine="640"/>
        <w:jc w:val="both"/>
        <w:rPr>
          <w:rFonts w:ascii="仿宋" w:hAnsi="仿宋" w:eastAsia="仿宋"/>
          <w:kern w:val="0"/>
          <w:sz w:val="32"/>
          <w:szCs w:val="32"/>
        </w:rPr>
      </w:pPr>
      <w:r>
        <w:rPr>
          <w:rFonts w:hint="eastAsia" w:ascii="仿宋" w:hAnsi="仿宋" w:eastAsia="仿宋" w:cs="仿宋_GB2312"/>
          <w:bCs/>
          <w:color w:val="000000"/>
          <w:kern w:val="0"/>
          <w:sz w:val="32"/>
          <w:szCs w:val="32"/>
          <w:lang w:val="zh-CN"/>
        </w:rPr>
        <w:t>6.有序开展乡村振兴工作,积极创建文明单位。</w:t>
      </w:r>
      <w:r>
        <w:rPr>
          <w:rStyle w:val="30"/>
          <w:rFonts w:hint="eastAsia" w:ascii="仿宋_GB2312" w:hAnsi="仿宋" w:eastAsia="仿宋_GB2312" w:cs="Times New Roman"/>
          <w:sz w:val="32"/>
          <w:szCs w:val="32"/>
        </w:rPr>
        <w:t>学院</w:t>
      </w:r>
      <w:r>
        <w:rPr>
          <w:rStyle w:val="30"/>
          <w:rFonts w:hint="eastAsia" w:ascii="仿宋_GB2312" w:hAnsi="仿宋" w:eastAsia="仿宋_GB2312" w:cs="Times New Roman"/>
          <w:sz w:val="32"/>
          <w:szCs w:val="32"/>
          <w:lang w:val="zh-CN"/>
        </w:rPr>
        <w:t>用情用心用力推进帮扶工作，</w:t>
      </w:r>
      <w:r>
        <w:rPr>
          <w:rStyle w:val="30"/>
          <w:rFonts w:hint="eastAsia" w:ascii="仿宋_GB2312" w:hAnsi="仿宋" w:eastAsia="仿宋_GB2312" w:cs="Times New Roman"/>
          <w:sz w:val="32"/>
          <w:szCs w:val="32"/>
        </w:rPr>
        <w:t>通过职工福利定向购买等形式，解决群众农产品销售难问题，全年销售帮扶村土蜂蜜1600斤，加之销售的花椒、木耳等，帮助群众变现8万多元；积极向水利厅汇报争取两当县域内毁坏河堤维修加固项目，已落实水利救灾资金200万元。加强文明单位创建，以创建省</w:t>
      </w:r>
      <w:r>
        <w:rPr>
          <w:rStyle w:val="30"/>
          <w:rFonts w:hint="eastAsia" w:ascii="仿宋_GB2312" w:eastAsia="仿宋_GB2312"/>
          <w:sz w:val="32"/>
          <w:szCs w:val="32"/>
        </w:rPr>
        <w:t>级文</w:t>
      </w:r>
      <w:r>
        <w:rPr>
          <w:rFonts w:hint="eastAsia" w:ascii="仿宋" w:hAnsi="仿宋" w:eastAsia="仿宋" w:cs="Times New Roman"/>
          <w:sz w:val="32"/>
          <w:szCs w:val="32"/>
        </w:rPr>
        <w:t>明单位为目标，扎实开展文明创建活动，通过积极创建，省委直属机关工委将学院列为“第十六批省级文明单位”已上报省</w:t>
      </w:r>
      <w:r>
        <w:rPr>
          <w:rFonts w:hint="eastAsia" w:ascii="仿宋" w:hAnsi="仿宋" w:eastAsia="仿宋" w:cs="仿宋_GB2312"/>
          <w:sz w:val="32"/>
          <w:szCs w:val="32"/>
        </w:rPr>
        <w:t>文明委。</w:t>
      </w:r>
      <w:r>
        <w:rPr>
          <w:rFonts w:hint="eastAsia" w:ascii="仿宋" w:hAnsi="仿宋" w:eastAsia="仿宋"/>
          <w:kern w:val="0"/>
          <w:sz w:val="32"/>
          <w:szCs w:val="32"/>
        </w:rPr>
        <w:t>组织教职工参加</w:t>
      </w:r>
      <w:r>
        <w:rPr>
          <w:rFonts w:ascii="仿宋" w:hAnsi="仿宋" w:eastAsia="仿宋"/>
          <w:kern w:val="0"/>
          <w:sz w:val="32"/>
          <w:szCs w:val="32"/>
        </w:rPr>
        <w:t>省</w:t>
      </w:r>
      <w:r>
        <w:rPr>
          <w:rFonts w:hint="eastAsia" w:ascii="仿宋" w:hAnsi="仿宋" w:eastAsia="仿宋"/>
          <w:kern w:val="0"/>
          <w:sz w:val="32"/>
          <w:szCs w:val="32"/>
        </w:rPr>
        <w:t>直属</w:t>
      </w:r>
      <w:r>
        <w:rPr>
          <w:rFonts w:ascii="仿宋" w:hAnsi="仿宋" w:eastAsia="仿宋"/>
          <w:kern w:val="0"/>
          <w:sz w:val="32"/>
          <w:szCs w:val="32"/>
        </w:rPr>
        <w:t>机关第十二届运动会</w:t>
      </w:r>
      <w:r>
        <w:rPr>
          <w:rFonts w:hint="eastAsia" w:ascii="仿宋" w:hAnsi="仿宋" w:eastAsia="仿宋"/>
          <w:kern w:val="0"/>
          <w:sz w:val="32"/>
          <w:szCs w:val="32"/>
        </w:rPr>
        <w:t>，营造了良好的文明创建氛围。</w:t>
      </w:r>
    </w:p>
    <w:p>
      <w:pPr>
        <w:ind w:firstLine="640"/>
        <w:jc w:val="both"/>
        <w:rPr>
          <w:rFonts w:ascii="仿宋" w:hAnsi="仿宋" w:eastAsia="仿宋"/>
          <w:sz w:val="32"/>
          <w:szCs w:val="32"/>
        </w:rPr>
      </w:pPr>
      <w:r>
        <w:rPr>
          <w:rFonts w:hint="eastAsia" w:ascii="仿宋" w:hAnsi="仿宋" w:eastAsia="仿宋"/>
          <w:sz w:val="32"/>
          <w:szCs w:val="32"/>
        </w:rPr>
        <w:t>部门整体支出绩效目标实际完成质量较好，年度工作根据年初规划和工作重点，积极履职，强化管理，在预算执行过程中，不断完善内部管理制度，通过加强预算收支管理，从管理机制上规范预算资金的使用，保障了</w:t>
      </w:r>
      <w:r>
        <w:rPr>
          <w:rFonts w:ascii="仿宋" w:hAnsi="仿宋" w:eastAsia="仿宋"/>
          <w:sz w:val="32"/>
          <w:szCs w:val="32"/>
        </w:rPr>
        <w:t>202</w:t>
      </w:r>
      <w:r>
        <w:rPr>
          <w:rFonts w:hint="eastAsia" w:ascii="仿宋" w:hAnsi="仿宋" w:eastAsia="仿宋"/>
          <w:sz w:val="32"/>
          <w:szCs w:val="32"/>
        </w:rPr>
        <w:t>2年各项工作任务的顺利完成，获得了良好的社会效益。本次绩效评价综合自评材料审核和现场审核结果，依据省级部门整体支出绩效评价指标体系和评分标准，综合评定2022年甘肃社会主义学院整体支出绩效得分为89.47分，绩效等级为“良好”。</w:t>
      </w:r>
    </w:p>
    <w:p>
      <w:pPr>
        <w:pBdr>
          <w:top w:val="single" w:color="FFFFFF" w:sz="4" w:space="0"/>
          <w:left w:val="single" w:color="FFFFFF" w:sz="4" w:space="0"/>
          <w:bottom w:val="single" w:color="FFFFFF" w:sz="4" w:space="30"/>
          <w:right w:val="single" w:color="FFFFFF" w:sz="4" w:space="15"/>
        </w:pBdr>
        <w:topLinePunct/>
        <w:spacing w:line="600" w:lineRule="exact"/>
        <w:ind w:firstLine="640"/>
        <w:jc w:val="both"/>
        <w:rPr>
          <w:rFonts w:ascii="仿宋" w:hAnsi="仿宋" w:eastAsia="仿宋"/>
          <w:sz w:val="32"/>
          <w:szCs w:val="32"/>
        </w:rPr>
      </w:pPr>
      <w:r>
        <w:rPr>
          <w:rFonts w:hint="eastAsia" w:ascii="楷体" w:hAnsi="楷体" w:eastAsia="楷体"/>
          <w:sz w:val="32"/>
          <w:szCs w:val="32"/>
        </w:rPr>
        <w:t>（三）各项指标完成情况分析</w:t>
      </w:r>
    </w:p>
    <w:p>
      <w:pPr>
        <w:pBdr>
          <w:top w:val="single" w:color="FFFFFF" w:sz="4" w:space="0"/>
          <w:left w:val="single" w:color="FFFFFF" w:sz="4" w:space="0"/>
          <w:bottom w:val="single" w:color="FFFFFF" w:sz="4" w:space="30"/>
          <w:right w:val="single" w:color="FFFFFF" w:sz="4" w:space="15"/>
        </w:pBdr>
        <w:topLinePunct/>
        <w:spacing w:line="600" w:lineRule="exact"/>
        <w:ind w:firstLine="640"/>
        <w:jc w:val="both"/>
        <w:rPr>
          <w:rFonts w:ascii="仿宋" w:hAnsi="仿宋" w:eastAsia="仿宋"/>
          <w:sz w:val="32"/>
          <w:szCs w:val="32"/>
        </w:rPr>
      </w:pPr>
      <w:r>
        <w:rPr>
          <w:rFonts w:hint="eastAsia" w:ascii="仿宋" w:hAnsi="仿宋" w:eastAsia="仿宋"/>
          <w:sz w:val="32"/>
          <w:szCs w:val="32"/>
        </w:rPr>
        <w:t>本次整体支出绩效评价包括整体支出部门管理、履职效果和能力建设3个一级指标，下设了</w:t>
      </w:r>
      <w:r>
        <w:rPr>
          <w:rFonts w:ascii="仿宋" w:hAnsi="仿宋" w:eastAsia="仿宋"/>
          <w:sz w:val="32"/>
          <w:szCs w:val="32"/>
        </w:rPr>
        <w:t>1</w:t>
      </w:r>
      <w:r>
        <w:rPr>
          <w:rFonts w:hint="eastAsia" w:ascii="仿宋" w:hAnsi="仿宋" w:eastAsia="仿宋"/>
          <w:sz w:val="32"/>
          <w:szCs w:val="32"/>
        </w:rPr>
        <w:t>3个二级指标和43个三级指标。 从一级指标得分情况来看，甘肃社会主义学院2022年整体支出在部门管理和能力建设方面取得了较好成绩，而在项目支出预算执行、部门履职效果方面还存在不足。</w:t>
      </w:r>
      <w:bookmarkStart w:id="2" w:name="_Toc12352"/>
    </w:p>
    <w:p>
      <w:pPr>
        <w:pBdr>
          <w:top w:val="single" w:color="FFFFFF" w:sz="4" w:space="0"/>
          <w:left w:val="single" w:color="FFFFFF" w:sz="4" w:space="0"/>
          <w:bottom w:val="single" w:color="FFFFFF" w:sz="4" w:space="30"/>
          <w:right w:val="single" w:color="FFFFFF" w:sz="4" w:space="15"/>
        </w:pBdr>
        <w:topLinePunct/>
        <w:spacing w:line="600" w:lineRule="exact"/>
        <w:ind w:firstLine="643"/>
        <w:jc w:val="both"/>
        <w:rPr>
          <w:rFonts w:ascii="仿宋" w:hAnsi="仿宋" w:eastAsia="仿宋"/>
          <w:sz w:val="32"/>
          <w:szCs w:val="32"/>
        </w:rPr>
      </w:pPr>
      <w:r>
        <w:rPr>
          <w:rFonts w:hint="eastAsia" w:ascii="仿宋" w:hAnsi="仿宋" w:eastAsia="仿宋"/>
          <w:b/>
          <w:sz w:val="32"/>
          <w:szCs w:val="32"/>
        </w:rPr>
        <w:t>1.整体支出预算执行率目标完成情况分析</w:t>
      </w:r>
      <w:bookmarkEnd w:id="2"/>
    </w:p>
    <w:p>
      <w:pPr>
        <w:pBdr>
          <w:top w:val="single" w:color="FFFFFF" w:sz="4" w:space="0"/>
          <w:left w:val="single" w:color="FFFFFF" w:sz="4" w:space="0"/>
          <w:bottom w:val="single" w:color="FFFFFF" w:sz="4" w:space="30"/>
          <w:right w:val="single" w:color="FFFFFF" w:sz="4" w:space="15"/>
        </w:pBdr>
        <w:topLinePunct/>
        <w:snapToGrid w:val="0"/>
        <w:spacing w:line="600" w:lineRule="exact"/>
        <w:ind w:firstLine="640"/>
        <w:jc w:val="both"/>
        <w:rPr>
          <w:rFonts w:ascii="仿宋" w:hAnsi="仿宋" w:eastAsia="仿宋"/>
          <w:sz w:val="32"/>
          <w:szCs w:val="32"/>
        </w:rPr>
      </w:pPr>
      <w:r>
        <w:rPr>
          <w:rFonts w:hint="eastAsia" w:ascii="仿宋" w:hAnsi="仿宋" w:eastAsia="仿宋"/>
          <w:sz w:val="32"/>
          <w:szCs w:val="32"/>
        </w:rPr>
        <w:t>甘肃社会主义学院2022年整体支出预算执行率92.51%，其中基本支出预算执行率100 %，项目支出预算执行率69.17%。整体支出预算执行率指标分值10分，绩效评分9.25分</w:t>
      </w:r>
      <w:bookmarkStart w:id="3" w:name="_Toc31939"/>
      <w:r>
        <w:rPr>
          <w:rFonts w:ascii="仿宋" w:hAnsi="仿宋" w:eastAsia="仿宋"/>
          <w:sz w:val="32"/>
          <w:szCs w:val="32"/>
        </w:rPr>
        <w:t>，</w:t>
      </w:r>
      <w:r>
        <w:rPr>
          <w:rFonts w:hint="eastAsia" w:ascii="仿宋" w:hAnsi="仿宋" w:eastAsia="仿宋"/>
          <w:sz w:val="32"/>
          <w:szCs w:val="32"/>
        </w:rPr>
        <w:t>扣</w:t>
      </w:r>
      <w:r>
        <w:rPr>
          <w:rFonts w:ascii="仿宋" w:hAnsi="仿宋" w:eastAsia="仿宋"/>
          <w:sz w:val="32"/>
          <w:szCs w:val="32"/>
        </w:rPr>
        <w:t>0</w:t>
      </w:r>
      <w:r>
        <w:rPr>
          <w:rFonts w:hint="eastAsia" w:ascii="仿宋" w:hAnsi="仿宋" w:eastAsia="仿宋"/>
          <w:sz w:val="32"/>
          <w:szCs w:val="32"/>
        </w:rPr>
        <w:t>.75分</w:t>
      </w:r>
      <w:r>
        <w:rPr>
          <w:rFonts w:ascii="仿宋" w:hAnsi="仿宋" w:eastAsia="仿宋"/>
          <w:sz w:val="32"/>
          <w:szCs w:val="32"/>
        </w:rPr>
        <w:t>。</w:t>
      </w:r>
    </w:p>
    <w:p>
      <w:pPr>
        <w:pBdr>
          <w:top w:val="single" w:color="FFFFFF" w:sz="4" w:space="0"/>
          <w:left w:val="single" w:color="FFFFFF" w:sz="4" w:space="0"/>
          <w:bottom w:val="single" w:color="FFFFFF" w:sz="4" w:space="30"/>
          <w:right w:val="single" w:color="FFFFFF" w:sz="4" w:space="15"/>
        </w:pBdr>
        <w:topLinePunct/>
        <w:snapToGrid w:val="0"/>
        <w:spacing w:line="600" w:lineRule="exact"/>
        <w:ind w:firstLine="643"/>
        <w:jc w:val="both"/>
        <w:rPr>
          <w:rFonts w:ascii="仿宋" w:hAnsi="仿宋" w:eastAsia="仿宋"/>
          <w:sz w:val="32"/>
          <w:szCs w:val="32"/>
        </w:rPr>
      </w:pPr>
      <w:r>
        <w:rPr>
          <w:rFonts w:hint="eastAsia" w:ascii="仿宋" w:hAnsi="仿宋" w:eastAsia="仿宋"/>
          <w:b/>
          <w:sz w:val="32"/>
          <w:szCs w:val="32"/>
        </w:rPr>
        <w:t>2.部门管理目标完成情况分析</w:t>
      </w:r>
      <w:bookmarkEnd w:id="3"/>
    </w:p>
    <w:p>
      <w:pPr>
        <w:pBdr>
          <w:top w:val="single" w:color="FFFFFF" w:sz="4" w:space="0"/>
          <w:left w:val="single" w:color="FFFFFF" w:sz="4" w:space="0"/>
          <w:bottom w:val="single" w:color="FFFFFF" w:sz="4" w:space="30"/>
          <w:right w:val="single" w:color="FFFFFF" w:sz="4" w:space="15"/>
        </w:pBdr>
        <w:topLinePunct/>
        <w:snapToGrid w:val="0"/>
        <w:spacing w:line="600" w:lineRule="exact"/>
        <w:ind w:firstLine="640"/>
        <w:jc w:val="both"/>
        <w:rPr>
          <w:rFonts w:ascii="仿宋" w:hAnsi="仿宋" w:eastAsia="仿宋"/>
          <w:sz w:val="32"/>
          <w:szCs w:val="32"/>
        </w:rPr>
      </w:pPr>
      <w:r>
        <w:rPr>
          <w:rFonts w:hint="eastAsia" w:ascii="仿宋" w:hAnsi="仿宋" w:eastAsia="仿宋"/>
          <w:sz w:val="32"/>
          <w:szCs w:val="32"/>
        </w:rPr>
        <w:t>部门管理指标分值27分，绩效评分26.17分。部门管理指标包括资金投入、财务管理、采购管理、资产管理、人员管理、重点工作管理6个二级指标，其下包括</w:t>
      </w:r>
      <w:r>
        <w:rPr>
          <w:rFonts w:ascii="仿宋" w:hAnsi="仿宋" w:eastAsia="仿宋"/>
          <w:sz w:val="32"/>
          <w:szCs w:val="32"/>
        </w:rPr>
        <w:t>1</w:t>
      </w:r>
      <w:r>
        <w:rPr>
          <w:rFonts w:hint="eastAsia" w:ascii="仿宋" w:hAnsi="仿宋" w:eastAsia="仿宋"/>
          <w:sz w:val="32"/>
          <w:szCs w:val="32"/>
        </w:rPr>
        <w:t>0个三级指标，“项目支出预算执行率”指标未完成</w:t>
      </w:r>
      <w:r>
        <w:rPr>
          <w:rFonts w:ascii="仿宋" w:hAnsi="仿宋" w:eastAsia="仿宋"/>
          <w:sz w:val="32"/>
          <w:szCs w:val="32"/>
        </w:rPr>
        <w:t>，</w:t>
      </w:r>
      <w:r>
        <w:rPr>
          <w:rFonts w:hint="eastAsia" w:ascii="仿宋" w:hAnsi="仿宋" w:eastAsia="仿宋"/>
          <w:sz w:val="32"/>
          <w:szCs w:val="32"/>
        </w:rPr>
        <w:t>其他指标按年初制定目标任务全部完成。</w:t>
      </w:r>
    </w:p>
    <w:p>
      <w:pPr>
        <w:pBdr>
          <w:top w:val="single" w:color="FFFFFF" w:sz="4" w:space="0"/>
          <w:left w:val="single" w:color="FFFFFF" w:sz="4" w:space="0"/>
          <w:bottom w:val="single" w:color="FFFFFF" w:sz="4" w:space="30"/>
          <w:right w:val="single" w:color="FFFFFF" w:sz="4" w:space="15"/>
        </w:pBdr>
        <w:topLinePunct/>
        <w:snapToGrid w:val="0"/>
        <w:spacing w:line="600" w:lineRule="exact"/>
        <w:ind w:firstLine="640"/>
        <w:jc w:val="both"/>
        <w:rPr>
          <w:rFonts w:ascii="仿宋" w:hAnsi="仿宋" w:eastAsia="仿宋"/>
          <w:sz w:val="32"/>
          <w:szCs w:val="32"/>
        </w:rPr>
      </w:pPr>
      <w:r>
        <w:rPr>
          <w:rFonts w:hint="eastAsia" w:ascii="仿宋" w:hAnsi="仿宋" w:eastAsia="仿宋"/>
          <w:sz w:val="32"/>
          <w:szCs w:val="32"/>
        </w:rPr>
        <w:t>（1）资金投入</w:t>
      </w:r>
    </w:p>
    <w:p>
      <w:pPr>
        <w:pBdr>
          <w:top w:val="single" w:color="FFFFFF" w:sz="4" w:space="0"/>
          <w:left w:val="single" w:color="FFFFFF" w:sz="4" w:space="0"/>
          <w:bottom w:val="single" w:color="FFFFFF" w:sz="4" w:space="30"/>
          <w:right w:val="single" w:color="FFFFFF" w:sz="4" w:space="15"/>
        </w:pBdr>
        <w:topLinePunct/>
        <w:snapToGrid w:val="0"/>
        <w:spacing w:line="600" w:lineRule="exact"/>
        <w:ind w:firstLine="640"/>
        <w:jc w:val="both"/>
        <w:rPr>
          <w:rFonts w:ascii="仿宋" w:hAnsi="仿宋" w:eastAsia="仿宋"/>
          <w:sz w:val="32"/>
          <w:szCs w:val="32"/>
        </w:rPr>
      </w:pPr>
      <w:r>
        <w:rPr>
          <w:rFonts w:ascii="仿宋" w:hAnsi="仿宋" w:eastAsia="仿宋"/>
          <w:sz w:val="32"/>
          <w:szCs w:val="32"/>
        </w:rPr>
        <w:t>①</w:t>
      </w:r>
      <w:r>
        <w:rPr>
          <w:rFonts w:hint="eastAsia" w:ascii="仿宋" w:hAnsi="仿宋" w:eastAsia="仿宋"/>
          <w:sz w:val="32"/>
          <w:szCs w:val="32"/>
        </w:rPr>
        <w:t>基本支出预算执行情况</w:t>
      </w:r>
    </w:p>
    <w:p>
      <w:pPr>
        <w:pBdr>
          <w:top w:val="single" w:color="FFFFFF" w:sz="4" w:space="0"/>
          <w:left w:val="single" w:color="FFFFFF" w:sz="4" w:space="0"/>
          <w:bottom w:val="single" w:color="FFFFFF" w:sz="4" w:space="30"/>
          <w:right w:val="single" w:color="FFFFFF" w:sz="4" w:space="15"/>
        </w:pBdr>
        <w:topLinePunct/>
        <w:snapToGrid w:val="0"/>
        <w:spacing w:line="600" w:lineRule="exact"/>
        <w:ind w:firstLine="640"/>
        <w:jc w:val="both"/>
        <w:rPr>
          <w:rFonts w:ascii="仿宋" w:hAnsi="仿宋" w:eastAsia="仿宋"/>
          <w:sz w:val="32"/>
          <w:szCs w:val="32"/>
        </w:rPr>
      </w:pPr>
      <w:r>
        <w:rPr>
          <w:rFonts w:hint="eastAsia" w:ascii="仿宋" w:hAnsi="仿宋" w:eastAsia="仿宋"/>
          <w:sz w:val="32"/>
          <w:szCs w:val="32"/>
        </w:rPr>
        <w:t>甘肃社会主义学院2022年基本支出预算</w:t>
      </w:r>
      <w:r>
        <w:rPr>
          <w:rFonts w:ascii="仿宋" w:hAnsi="仿宋" w:eastAsia="仿宋"/>
          <w:sz w:val="32"/>
          <w:szCs w:val="32"/>
        </w:rPr>
        <w:t>1715.5</w:t>
      </w:r>
      <w:r>
        <w:rPr>
          <w:rFonts w:hint="eastAsia" w:ascii="仿宋" w:hAnsi="仿宋" w:eastAsia="仿宋"/>
          <w:sz w:val="32"/>
          <w:szCs w:val="32"/>
        </w:rPr>
        <w:t>万元，全年预算调整后</w:t>
      </w:r>
      <w:r>
        <w:rPr>
          <w:rFonts w:ascii="仿宋" w:hAnsi="仿宋" w:eastAsia="仿宋"/>
          <w:sz w:val="32"/>
          <w:szCs w:val="32"/>
        </w:rPr>
        <w:t>1834.89</w:t>
      </w:r>
      <w:r>
        <w:rPr>
          <w:rFonts w:hint="eastAsia" w:ascii="仿宋" w:hAnsi="仿宋" w:eastAsia="仿宋"/>
          <w:sz w:val="32"/>
          <w:szCs w:val="32"/>
        </w:rPr>
        <w:t>万元，实际支出</w:t>
      </w:r>
      <w:r>
        <w:rPr>
          <w:rFonts w:ascii="仿宋" w:hAnsi="仿宋" w:eastAsia="仿宋"/>
          <w:sz w:val="32"/>
          <w:szCs w:val="32"/>
        </w:rPr>
        <w:t>1834.89</w:t>
      </w:r>
      <w:r>
        <w:rPr>
          <w:rFonts w:hint="eastAsia" w:ascii="仿宋" w:hAnsi="仿宋" w:eastAsia="仿宋"/>
          <w:sz w:val="32"/>
          <w:szCs w:val="32"/>
        </w:rPr>
        <w:t>万元，基本支出预算执行率100%。</w:t>
      </w:r>
    </w:p>
    <w:p>
      <w:pPr>
        <w:pBdr>
          <w:top w:val="single" w:color="FFFFFF" w:sz="4" w:space="0"/>
          <w:left w:val="single" w:color="FFFFFF" w:sz="4" w:space="0"/>
          <w:bottom w:val="single" w:color="FFFFFF" w:sz="4" w:space="30"/>
          <w:right w:val="single" w:color="FFFFFF" w:sz="4" w:space="15"/>
        </w:pBdr>
        <w:topLinePunct/>
        <w:snapToGrid w:val="0"/>
        <w:spacing w:line="600" w:lineRule="exact"/>
        <w:ind w:firstLine="640"/>
        <w:jc w:val="both"/>
        <w:rPr>
          <w:rFonts w:ascii="仿宋" w:hAnsi="仿宋" w:eastAsia="仿宋"/>
          <w:sz w:val="32"/>
          <w:szCs w:val="32"/>
        </w:rPr>
      </w:pPr>
      <w:r>
        <w:rPr>
          <w:rFonts w:hint="eastAsia" w:ascii="仿宋" w:hAnsi="仿宋" w:eastAsia="仿宋"/>
          <w:color w:val="000000" w:themeColor="text1"/>
          <w:sz w:val="32"/>
          <w:szCs w:val="32"/>
        </w:rPr>
        <w:t>②</w:t>
      </w:r>
      <w:r>
        <w:rPr>
          <w:rFonts w:hint="eastAsia" w:ascii="仿宋" w:hAnsi="仿宋" w:eastAsia="仿宋"/>
          <w:sz w:val="32"/>
          <w:szCs w:val="32"/>
        </w:rPr>
        <w:t>项目支出预算执行情况</w:t>
      </w:r>
    </w:p>
    <w:p>
      <w:pPr>
        <w:pBdr>
          <w:top w:val="single" w:color="FFFFFF" w:sz="4" w:space="0"/>
          <w:left w:val="single" w:color="FFFFFF" w:sz="4" w:space="0"/>
          <w:bottom w:val="single" w:color="FFFFFF" w:sz="4" w:space="30"/>
          <w:right w:val="single" w:color="FFFFFF" w:sz="4" w:space="15"/>
        </w:pBdr>
        <w:topLinePunct/>
        <w:adjustRightInd w:val="0"/>
        <w:snapToGrid w:val="0"/>
        <w:spacing w:line="600" w:lineRule="exact"/>
        <w:ind w:firstLine="640"/>
        <w:jc w:val="both"/>
        <w:rPr>
          <w:rFonts w:ascii="仿宋" w:hAnsi="仿宋" w:eastAsia="仿宋"/>
          <w:sz w:val="32"/>
          <w:szCs w:val="32"/>
        </w:rPr>
      </w:pPr>
      <w:r>
        <w:rPr>
          <w:rFonts w:hint="eastAsia" w:ascii="仿宋" w:hAnsi="仿宋" w:eastAsia="仿宋"/>
          <w:sz w:val="32"/>
          <w:szCs w:val="32"/>
        </w:rPr>
        <w:t>甘肃社会主义学院2022年“办学补助及科研理论研究创新工程经费”项目支出年初预算资金600万元,实际预算资金588.82万元，实际支出407.28万元，预算执行率69.17%，绩效评分1.87分</w:t>
      </w:r>
      <w:r>
        <w:rPr>
          <w:rFonts w:ascii="仿宋" w:hAnsi="仿宋" w:eastAsia="仿宋"/>
          <w:sz w:val="32"/>
          <w:szCs w:val="32"/>
        </w:rPr>
        <w:t>，</w:t>
      </w:r>
      <w:r>
        <w:rPr>
          <w:rFonts w:hint="eastAsia" w:ascii="仿宋" w:hAnsi="仿宋" w:eastAsia="仿宋"/>
          <w:sz w:val="32"/>
          <w:szCs w:val="32"/>
        </w:rPr>
        <w:t>扣</w:t>
      </w:r>
      <w:r>
        <w:rPr>
          <w:rFonts w:ascii="仿宋" w:hAnsi="仿宋" w:eastAsia="仿宋"/>
          <w:sz w:val="32"/>
          <w:szCs w:val="32"/>
        </w:rPr>
        <w:t>0</w:t>
      </w:r>
      <w:r>
        <w:rPr>
          <w:rFonts w:hint="eastAsia" w:ascii="仿宋" w:hAnsi="仿宋" w:eastAsia="仿宋"/>
          <w:sz w:val="32"/>
          <w:szCs w:val="32"/>
        </w:rPr>
        <w:t>.83分。</w:t>
      </w:r>
    </w:p>
    <w:p>
      <w:pPr>
        <w:pBdr>
          <w:top w:val="single" w:color="FFFFFF" w:sz="4" w:space="0"/>
          <w:left w:val="single" w:color="FFFFFF" w:sz="4" w:space="0"/>
          <w:bottom w:val="single" w:color="FFFFFF" w:sz="4" w:space="30"/>
          <w:right w:val="single" w:color="FFFFFF" w:sz="4" w:space="15"/>
        </w:pBdr>
        <w:topLinePunct/>
        <w:adjustRightInd w:val="0"/>
        <w:snapToGrid w:val="0"/>
        <w:spacing w:line="600" w:lineRule="exact"/>
        <w:ind w:firstLine="640"/>
        <w:jc w:val="both"/>
        <w:rPr>
          <w:rFonts w:ascii="仿宋" w:hAnsi="仿宋" w:eastAsia="仿宋"/>
          <w:sz w:val="32"/>
          <w:szCs w:val="32"/>
        </w:rPr>
      </w:pPr>
      <w:r>
        <w:rPr>
          <w:rFonts w:hint="eastAsia" w:ascii="仿宋" w:hAnsi="仿宋" w:eastAsia="仿宋"/>
          <w:sz w:val="32"/>
          <w:szCs w:val="32"/>
        </w:rPr>
        <w:t>（2）财务管理</w:t>
      </w:r>
    </w:p>
    <w:p>
      <w:pPr>
        <w:pBdr>
          <w:top w:val="single" w:color="FFFFFF" w:sz="4" w:space="0"/>
          <w:left w:val="single" w:color="FFFFFF" w:sz="4" w:space="0"/>
          <w:bottom w:val="single" w:color="FFFFFF" w:sz="4" w:space="30"/>
          <w:right w:val="single" w:color="FFFFFF" w:sz="4" w:space="15"/>
        </w:pBdr>
        <w:topLinePunct/>
        <w:adjustRightInd w:val="0"/>
        <w:snapToGrid w:val="0"/>
        <w:spacing w:line="600" w:lineRule="exact"/>
        <w:ind w:firstLine="640"/>
        <w:jc w:val="both"/>
        <w:rPr>
          <w:rFonts w:ascii="仿宋" w:hAnsi="仿宋" w:eastAsia="仿宋"/>
          <w:sz w:val="32"/>
          <w:szCs w:val="32"/>
        </w:rPr>
      </w:pPr>
      <w:r>
        <w:rPr>
          <w:rFonts w:hint="eastAsia" w:ascii="仿宋" w:hAnsi="仿宋" w:eastAsia="仿宋"/>
          <w:sz w:val="32"/>
          <w:szCs w:val="32"/>
        </w:rPr>
        <w:t>甘肃社会主义学院财务管理制度健全,根据财政部关于贯彻实施《政府会计准则制度》的通知（财会〔2018〕21号）要求，从2020年1月1日起按照新修订的政府会计准则制度进行财务核算。财务管理严格执行《中华人民共和国会计法》和《行政事业单位内部控制规范》的有关规定和要求，机关财务工作严格执行《预算</w:t>
      </w:r>
      <w:r>
        <w:rPr>
          <w:rFonts w:ascii="仿宋" w:hAnsi="仿宋" w:eastAsia="仿宋"/>
          <w:sz w:val="32"/>
          <w:szCs w:val="32"/>
        </w:rPr>
        <w:t>分配草案</w:t>
      </w:r>
      <w:r>
        <w:rPr>
          <w:rFonts w:hint="eastAsia" w:ascii="仿宋" w:hAnsi="仿宋" w:eastAsia="仿宋"/>
          <w:sz w:val="32"/>
          <w:szCs w:val="32"/>
        </w:rPr>
        <w:t>》《甘肃社会主义学院财务管理规定》《专项资金</w:t>
      </w:r>
      <w:r>
        <w:rPr>
          <w:rFonts w:ascii="仿宋" w:hAnsi="仿宋" w:eastAsia="仿宋"/>
          <w:sz w:val="32"/>
          <w:szCs w:val="32"/>
        </w:rPr>
        <w:t>使用监</w:t>
      </w:r>
      <w:r>
        <w:rPr>
          <w:rFonts w:hint="eastAsia" w:ascii="仿宋" w:hAnsi="仿宋" w:eastAsia="仿宋"/>
          <w:sz w:val="32"/>
          <w:szCs w:val="32"/>
        </w:rPr>
        <w:t>督</w:t>
      </w:r>
      <w:r>
        <w:rPr>
          <w:rFonts w:ascii="仿宋" w:hAnsi="仿宋" w:eastAsia="仿宋"/>
          <w:sz w:val="32"/>
          <w:szCs w:val="32"/>
        </w:rPr>
        <w:t>管理暂行办法</w:t>
      </w:r>
      <w:r>
        <w:rPr>
          <w:rFonts w:hint="eastAsia" w:ascii="仿宋" w:hAnsi="仿宋" w:eastAsia="仿宋"/>
          <w:sz w:val="32"/>
          <w:szCs w:val="32"/>
        </w:rPr>
        <w:t>》等内部制度规定，根据实际发生的经济业务事项进行会计核算，填制会计凭证，登记会计账簿，编制财务会计报告。资金支出规范，收支真实完整、凭证附件齐全、核算依据充分、项目收支合规，按时完成预算、决算编报工作及财务信息公开工作。</w:t>
      </w:r>
    </w:p>
    <w:p>
      <w:pPr>
        <w:pBdr>
          <w:top w:val="single" w:color="FFFFFF" w:sz="4" w:space="0"/>
          <w:left w:val="single" w:color="FFFFFF" w:sz="4" w:space="0"/>
          <w:bottom w:val="single" w:color="FFFFFF" w:sz="4" w:space="30"/>
          <w:right w:val="single" w:color="FFFFFF" w:sz="4" w:space="15"/>
        </w:pBdr>
        <w:topLinePunct/>
        <w:adjustRightInd w:val="0"/>
        <w:snapToGrid w:val="0"/>
        <w:spacing w:line="600" w:lineRule="exact"/>
        <w:ind w:firstLine="640"/>
        <w:jc w:val="both"/>
        <w:rPr>
          <w:rFonts w:ascii="仿宋" w:hAnsi="仿宋" w:eastAsia="仿宋"/>
          <w:sz w:val="32"/>
          <w:szCs w:val="32"/>
        </w:rPr>
      </w:pPr>
      <w:r>
        <w:rPr>
          <w:rFonts w:hint="eastAsia" w:ascii="仿宋" w:hAnsi="仿宋" w:eastAsia="仿宋"/>
          <w:sz w:val="32"/>
          <w:szCs w:val="32"/>
        </w:rPr>
        <w:t>（3）采购管理</w:t>
      </w:r>
    </w:p>
    <w:p>
      <w:pPr>
        <w:pBdr>
          <w:top w:val="single" w:color="FFFFFF" w:sz="4" w:space="0"/>
          <w:left w:val="single" w:color="FFFFFF" w:sz="4" w:space="0"/>
          <w:bottom w:val="single" w:color="FFFFFF" w:sz="4" w:space="30"/>
          <w:right w:val="single" w:color="FFFFFF" w:sz="4" w:space="15"/>
        </w:pBdr>
        <w:topLinePunct/>
        <w:adjustRightInd w:val="0"/>
        <w:snapToGrid w:val="0"/>
        <w:spacing w:line="600" w:lineRule="exact"/>
        <w:ind w:firstLine="640"/>
        <w:jc w:val="both"/>
        <w:rPr>
          <w:rFonts w:ascii="仿宋" w:hAnsi="仿宋" w:eastAsia="仿宋"/>
          <w:sz w:val="32"/>
          <w:szCs w:val="32"/>
        </w:rPr>
      </w:pPr>
      <w:r>
        <w:rPr>
          <w:rFonts w:hint="eastAsia" w:ascii="仿宋" w:hAnsi="仿宋" w:eastAsia="仿宋"/>
          <w:sz w:val="32"/>
          <w:szCs w:val="32"/>
        </w:rPr>
        <w:t>甘肃社会主义学院2022年采购计划按照规定程序报经省机关事务管理局、省财政厅批准，实行部门集中采购等组织形式，履行询价程序。采购程序、合同规范，采购文件、档案完整。</w:t>
      </w:r>
    </w:p>
    <w:p>
      <w:pPr>
        <w:pBdr>
          <w:top w:val="single" w:color="FFFFFF" w:sz="4" w:space="0"/>
          <w:left w:val="single" w:color="FFFFFF" w:sz="4" w:space="0"/>
          <w:bottom w:val="single" w:color="FFFFFF" w:sz="4" w:space="30"/>
          <w:right w:val="single" w:color="FFFFFF" w:sz="4" w:space="15"/>
        </w:pBdr>
        <w:topLinePunct/>
        <w:adjustRightInd w:val="0"/>
        <w:snapToGrid w:val="0"/>
        <w:spacing w:line="600" w:lineRule="exact"/>
        <w:ind w:firstLine="640"/>
        <w:jc w:val="both"/>
        <w:rPr>
          <w:rFonts w:ascii="仿宋" w:hAnsi="仿宋" w:eastAsia="仿宋"/>
          <w:sz w:val="32"/>
          <w:szCs w:val="32"/>
        </w:rPr>
      </w:pPr>
      <w:r>
        <w:rPr>
          <w:rFonts w:hint="eastAsia" w:ascii="仿宋" w:hAnsi="仿宋" w:eastAsia="仿宋"/>
          <w:sz w:val="32"/>
          <w:szCs w:val="32"/>
        </w:rPr>
        <w:t>（4）资产管理</w:t>
      </w:r>
    </w:p>
    <w:p>
      <w:pPr>
        <w:pBdr>
          <w:top w:val="single" w:color="FFFFFF" w:sz="4" w:space="0"/>
          <w:left w:val="single" w:color="FFFFFF" w:sz="4" w:space="0"/>
          <w:bottom w:val="single" w:color="FFFFFF" w:sz="4" w:space="30"/>
          <w:right w:val="single" w:color="FFFFFF" w:sz="4" w:space="15"/>
        </w:pBdr>
        <w:topLinePunct/>
        <w:adjustRightInd w:val="0"/>
        <w:snapToGrid w:val="0"/>
        <w:spacing w:line="600" w:lineRule="exact"/>
        <w:ind w:firstLine="640"/>
        <w:jc w:val="both"/>
        <w:rPr>
          <w:rFonts w:ascii="仿宋" w:hAnsi="仿宋" w:eastAsia="仿宋"/>
          <w:color w:val="FF0000"/>
          <w:sz w:val="32"/>
          <w:szCs w:val="32"/>
        </w:rPr>
      </w:pPr>
      <w:r>
        <w:rPr>
          <w:rFonts w:hint="eastAsia" w:ascii="仿宋" w:hAnsi="仿宋" w:eastAsia="仿宋"/>
          <w:sz w:val="32"/>
          <w:szCs w:val="32"/>
        </w:rPr>
        <w:t>截至 2022 年12月31 日，甘肃社会主义学院资产总额</w:t>
      </w:r>
      <w:r>
        <w:rPr>
          <w:rFonts w:ascii="仿宋" w:hAnsi="仿宋" w:eastAsia="仿宋"/>
          <w:color w:val="000000" w:themeColor="text1"/>
          <w:sz w:val="32"/>
          <w:szCs w:val="32"/>
        </w:rPr>
        <w:t>9076</w:t>
      </w:r>
      <w:r>
        <w:rPr>
          <w:rFonts w:hint="eastAsia" w:ascii="仿宋" w:hAnsi="仿宋" w:eastAsia="仿宋"/>
          <w:color w:val="000000" w:themeColor="text1"/>
          <w:sz w:val="32"/>
          <w:szCs w:val="32"/>
        </w:rPr>
        <w:t>.</w:t>
      </w:r>
      <w:r>
        <w:rPr>
          <w:rFonts w:ascii="仿宋" w:hAnsi="仿宋" w:eastAsia="仿宋"/>
          <w:color w:val="000000" w:themeColor="text1"/>
          <w:sz w:val="32"/>
          <w:szCs w:val="32"/>
        </w:rPr>
        <w:t>65</w:t>
      </w:r>
      <w:r>
        <w:rPr>
          <w:rFonts w:hint="eastAsia" w:ascii="仿宋" w:hAnsi="仿宋" w:eastAsia="仿宋"/>
          <w:color w:val="000000" w:themeColor="text1"/>
          <w:sz w:val="32"/>
          <w:szCs w:val="32"/>
        </w:rPr>
        <w:t>万元，其中流动资产758.81万元，固定资产净值7482.22万元，无形资产净值1.01万元。</w:t>
      </w:r>
    </w:p>
    <w:p>
      <w:pPr>
        <w:pBdr>
          <w:top w:val="single" w:color="FFFFFF" w:sz="4" w:space="0"/>
          <w:left w:val="single" w:color="FFFFFF" w:sz="4" w:space="0"/>
          <w:bottom w:val="single" w:color="FFFFFF" w:sz="4" w:space="30"/>
          <w:right w:val="single" w:color="FFFFFF" w:sz="4" w:space="15"/>
        </w:pBdr>
        <w:topLinePunct/>
        <w:adjustRightInd w:val="0"/>
        <w:snapToGrid w:val="0"/>
        <w:spacing w:line="600" w:lineRule="exact"/>
        <w:ind w:firstLine="640"/>
        <w:jc w:val="both"/>
        <w:rPr>
          <w:rFonts w:ascii="仿宋" w:hAnsi="仿宋" w:eastAsia="仿宋"/>
          <w:sz w:val="32"/>
          <w:szCs w:val="32"/>
        </w:rPr>
      </w:pPr>
      <w:r>
        <w:rPr>
          <w:rFonts w:hint="eastAsia" w:ascii="仿宋" w:hAnsi="仿宋" w:eastAsia="仿宋"/>
          <w:sz w:val="32"/>
          <w:szCs w:val="32"/>
        </w:rPr>
        <w:t>（5）人员管理</w:t>
      </w:r>
    </w:p>
    <w:p>
      <w:pPr>
        <w:pBdr>
          <w:top w:val="single" w:color="FFFFFF" w:sz="4" w:space="0"/>
          <w:left w:val="single" w:color="FFFFFF" w:sz="4" w:space="0"/>
          <w:bottom w:val="single" w:color="FFFFFF" w:sz="4" w:space="30"/>
          <w:right w:val="single" w:color="FFFFFF" w:sz="4" w:space="15"/>
        </w:pBdr>
        <w:topLinePunct/>
        <w:adjustRightInd w:val="0"/>
        <w:snapToGrid w:val="0"/>
        <w:spacing w:line="600" w:lineRule="exact"/>
        <w:ind w:firstLine="640"/>
        <w:jc w:val="both"/>
        <w:rPr>
          <w:rFonts w:ascii="仿宋" w:hAnsi="仿宋" w:eastAsia="仿宋"/>
          <w:bCs/>
          <w:sz w:val="32"/>
          <w:szCs w:val="32"/>
        </w:rPr>
      </w:pPr>
      <w:r>
        <w:rPr>
          <w:rFonts w:hint="eastAsia" w:ascii="仿宋" w:hAnsi="仿宋" w:eastAsia="仿宋"/>
          <w:sz w:val="32"/>
          <w:szCs w:val="32"/>
        </w:rPr>
        <w:t>甘肃社会主义学院</w:t>
      </w:r>
      <w:r>
        <w:rPr>
          <w:rFonts w:hint="eastAsia" w:ascii="仿宋" w:hAnsi="仿宋" w:eastAsia="仿宋"/>
          <w:bCs/>
          <w:sz w:val="32"/>
          <w:szCs w:val="32"/>
        </w:rPr>
        <w:t>2020年编制数110名</w:t>
      </w:r>
      <w:r>
        <w:rPr>
          <w:rFonts w:hint="eastAsia" w:ascii="仿宋" w:hAnsi="仿宋" w:eastAsia="仿宋"/>
          <w:sz w:val="32"/>
          <w:szCs w:val="32"/>
        </w:rPr>
        <w:t>。</w:t>
      </w:r>
      <w:r>
        <w:rPr>
          <w:rFonts w:hint="eastAsia" w:ascii="仿宋" w:hAnsi="仿宋" w:eastAsia="仿宋"/>
          <w:bCs/>
          <w:sz w:val="32"/>
          <w:szCs w:val="32"/>
        </w:rPr>
        <w:t>其中参公编制32个；事业编制78个。</w:t>
      </w:r>
    </w:p>
    <w:p>
      <w:pPr>
        <w:pBdr>
          <w:top w:val="single" w:color="FFFFFF" w:sz="4" w:space="0"/>
          <w:left w:val="single" w:color="FFFFFF" w:sz="4" w:space="0"/>
          <w:bottom w:val="single" w:color="FFFFFF" w:sz="4" w:space="30"/>
          <w:right w:val="single" w:color="FFFFFF" w:sz="4" w:space="15"/>
        </w:pBdr>
        <w:topLinePunct/>
        <w:adjustRightInd w:val="0"/>
        <w:snapToGrid w:val="0"/>
        <w:spacing w:line="600" w:lineRule="exact"/>
        <w:ind w:firstLine="640"/>
        <w:jc w:val="both"/>
        <w:rPr>
          <w:rFonts w:ascii="仿宋" w:hAnsi="仿宋" w:eastAsia="仿宋"/>
          <w:sz w:val="32"/>
          <w:szCs w:val="32"/>
        </w:rPr>
      </w:pPr>
      <w:r>
        <w:rPr>
          <w:rFonts w:hint="eastAsia" w:ascii="仿宋" w:hAnsi="仿宋" w:eastAsia="仿宋"/>
          <w:bCs/>
          <w:sz w:val="32"/>
          <w:szCs w:val="32"/>
        </w:rPr>
        <w:t>2022年末实有在职人数101人，其中：在职人员参公</w:t>
      </w:r>
      <w:r>
        <w:rPr>
          <w:rFonts w:ascii="仿宋" w:hAnsi="仿宋" w:eastAsia="仿宋"/>
          <w:bCs/>
          <w:sz w:val="32"/>
          <w:szCs w:val="32"/>
        </w:rPr>
        <w:t>编30</w:t>
      </w:r>
      <w:r>
        <w:rPr>
          <w:rFonts w:hint="eastAsia" w:ascii="仿宋" w:hAnsi="仿宋" w:eastAsia="仿宋"/>
          <w:bCs/>
          <w:sz w:val="32"/>
          <w:szCs w:val="32"/>
        </w:rPr>
        <w:t>人，在职事业编</w:t>
      </w:r>
      <w:r>
        <w:rPr>
          <w:rFonts w:ascii="仿宋" w:hAnsi="仿宋" w:eastAsia="仿宋"/>
          <w:bCs/>
          <w:sz w:val="32"/>
          <w:szCs w:val="32"/>
        </w:rPr>
        <w:t>71</w:t>
      </w:r>
      <w:r>
        <w:rPr>
          <w:rFonts w:hint="eastAsia" w:ascii="仿宋" w:hAnsi="仿宋" w:eastAsia="仿宋"/>
          <w:bCs/>
          <w:sz w:val="32"/>
          <w:szCs w:val="32"/>
        </w:rPr>
        <w:t>人</w:t>
      </w:r>
      <w:r>
        <w:rPr>
          <w:rFonts w:ascii="仿宋" w:hAnsi="仿宋" w:eastAsia="仿宋"/>
          <w:sz w:val="32"/>
          <w:szCs w:val="32"/>
        </w:rPr>
        <w:t>。</w:t>
      </w:r>
    </w:p>
    <w:p>
      <w:pPr>
        <w:pBdr>
          <w:top w:val="single" w:color="FFFFFF" w:sz="4" w:space="0"/>
          <w:left w:val="single" w:color="FFFFFF" w:sz="4" w:space="0"/>
          <w:bottom w:val="single" w:color="FFFFFF" w:sz="4" w:space="30"/>
          <w:right w:val="single" w:color="FFFFFF" w:sz="4" w:space="15"/>
        </w:pBdr>
        <w:topLinePunct/>
        <w:adjustRightInd w:val="0"/>
        <w:snapToGrid w:val="0"/>
        <w:spacing w:line="600" w:lineRule="exact"/>
        <w:ind w:firstLine="640"/>
        <w:jc w:val="both"/>
        <w:rPr>
          <w:rFonts w:ascii="仿宋" w:hAnsi="仿宋" w:eastAsia="仿宋"/>
          <w:sz w:val="32"/>
          <w:szCs w:val="32"/>
        </w:rPr>
      </w:pPr>
      <w:r>
        <w:rPr>
          <w:rFonts w:hint="eastAsia" w:ascii="仿宋" w:hAnsi="仿宋" w:eastAsia="仿宋"/>
          <w:sz w:val="32"/>
          <w:szCs w:val="32"/>
        </w:rPr>
        <w:t>（6）重点工作管理</w:t>
      </w:r>
    </w:p>
    <w:p>
      <w:pPr>
        <w:pBdr>
          <w:top w:val="single" w:color="FFFFFF" w:sz="4" w:space="0"/>
          <w:left w:val="single" w:color="FFFFFF" w:sz="4" w:space="0"/>
          <w:bottom w:val="single" w:color="FFFFFF" w:sz="4" w:space="30"/>
          <w:right w:val="single" w:color="FFFFFF" w:sz="4" w:space="15"/>
        </w:pBdr>
        <w:topLinePunct/>
        <w:adjustRightInd w:val="0"/>
        <w:snapToGrid w:val="0"/>
        <w:spacing w:line="600" w:lineRule="exact"/>
        <w:ind w:firstLine="640"/>
        <w:jc w:val="both"/>
        <w:rPr>
          <w:rFonts w:ascii="仿宋" w:hAnsi="仿宋" w:eastAsia="仿宋"/>
          <w:sz w:val="32"/>
          <w:szCs w:val="32"/>
        </w:rPr>
      </w:pPr>
      <w:r>
        <w:rPr>
          <w:rFonts w:hint="eastAsia" w:ascii="仿宋" w:hAnsi="仿宋" w:eastAsia="仿宋"/>
          <w:sz w:val="32"/>
          <w:szCs w:val="32"/>
        </w:rPr>
        <w:t>2022年甘肃社会主义学院各项重点工作顺利推进。公文处理和印信档案管理方面：规范公文报送程序，公文办理水平不断提高；信息公开方面：制定政府信息主动公开办法、主动公开信息目录，下发政务公开工作通知通报，督促抓好工作落实；政务信息方面：紧紧围绕甘肃社会主义学院重点工作，突出工作举措、反映工作特色；信访和维稳方面：在节假日、疫情等敏感时期，做好维稳安保工作通知，就维稳安保、应急工作进行安排部署，顺利完成省维稳办工作考核，各项工作得到肯定。根据二级指标得分情况，甘肃社会主义学院财务管理、采购管理、人员管理、重点工作管理均达到预期目标。</w:t>
      </w:r>
      <w:bookmarkStart w:id="4" w:name="_Toc22743"/>
      <w:r>
        <w:rPr>
          <w:rFonts w:hint="eastAsia" w:ascii="仿宋" w:hAnsi="仿宋" w:eastAsia="仿宋"/>
          <w:sz w:val="32"/>
          <w:szCs w:val="32"/>
        </w:rPr>
        <w:t xml:space="preserve"> </w:t>
      </w:r>
    </w:p>
    <w:p>
      <w:pPr>
        <w:numPr>
          <w:ilvl w:val="0"/>
          <w:numId w:val="1"/>
        </w:numPr>
        <w:pBdr>
          <w:top w:val="single" w:color="FFFFFF" w:sz="4" w:space="0"/>
          <w:left w:val="single" w:color="FFFFFF" w:sz="4" w:space="0"/>
          <w:bottom w:val="single" w:color="FFFFFF" w:sz="4" w:space="30"/>
          <w:right w:val="single" w:color="FFFFFF" w:sz="4" w:space="15"/>
        </w:pBdr>
        <w:topLinePunct/>
        <w:adjustRightInd w:val="0"/>
        <w:snapToGrid w:val="0"/>
        <w:spacing w:line="600" w:lineRule="exact"/>
        <w:ind w:firstLine="643"/>
        <w:jc w:val="both"/>
        <w:rPr>
          <w:rFonts w:ascii="仿宋" w:hAnsi="仿宋" w:eastAsia="仿宋"/>
          <w:b/>
          <w:sz w:val="32"/>
          <w:szCs w:val="32"/>
        </w:rPr>
      </w:pPr>
      <w:r>
        <w:rPr>
          <w:rFonts w:hint="eastAsia" w:ascii="仿宋" w:hAnsi="仿宋" w:eastAsia="仿宋"/>
          <w:b/>
          <w:sz w:val="32"/>
          <w:szCs w:val="32"/>
        </w:rPr>
        <w:t>履职效果目标完成情况分析</w:t>
      </w:r>
      <w:bookmarkEnd w:id="4"/>
    </w:p>
    <w:p>
      <w:pPr>
        <w:pBdr>
          <w:top w:val="single" w:color="FFFFFF" w:sz="4" w:space="0"/>
          <w:left w:val="single" w:color="FFFFFF" w:sz="4" w:space="0"/>
          <w:bottom w:val="single" w:color="FFFFFF" w:sz="4" w:space="30"/>
          <w:right w:val="single" w:color="FFFFFF" w:sz="4" w:space="15"/>
        </w:pBdr>
        <w:topLinePunct/>
        <w:adjustRightInd w:val="0"/>
        <w:snapToGrid w:val="0"/>
        <w:spacing w:line="600" w:lineRule="exact"/>
        <w:ind w:firstLine="640"/>
        <w:jc w:val="both"/>
        <w:rPr>
          <w:rFonts w:ascii="仿宋" w:hAnsi="仿宋" w:eastAsia="仿宋"/>
          <w:sz w:val="32"/>
          <w:szCs w:val="32"/>
        </w:rPr>
      </w:pPr>
      <w:r>
        <w:rPr>
          <w:rFonts w:hint="eastAsia" w:ascii="仿宋" w:hAnsi="仿宋" w:eastAsia="仿宋"/>
          <w:sz w:val="32"/>
          <w:szCs w:val="32"/>
        </w:rPr>
        <w:t>履职效果指标分值</w:t>
      </w:r>
      <w:r>
        <w:rPr>
          <w:rFonts w:ascii="仿宋" w:hAnsi="仿宋" w:eastAsia="仿宋"/>
          <w:sz w:val="32"/>
          <w:szCs w:val="32"/>
        </w:rPr>
        <w:t>5</w:t>
      </w:r>
      <w:r>
        <w:rPr>
          <w:rFonts w:hint="eastAsia" w:ascii="仿宋" w:hAnsi="仿宋" w:eastAsia="仿宋"/>
          <w:sz w:val="32"/>
          <w:szCs w:val="32"/>
        </w:rPr>
        <w:t>4分，绩效评分45.05分。履职效果指标包括部门履职、部门效果、服务对象满意度、社会影响4个二级指标，其下包括27个三级指标。根据二级指标得分情况，甘肃社会主义学院服务对象满意度、社会影响指标均达到预期目标，部门履职目标中的4项指标未完成，其中：举办各类培训班&gt;=60期，实际完成32期，扣0.93分；组织文化交流团&gt;=1次，实际完成0次，扣2分；学术著作出版&gt;=1部，实际完成0部，扣2分；创新工程项目数&gt;=14个，实际完成0个，扣2分。部门效果目标有1项未完成，创新工程结项率</w:t>
      </w:r>
      <w:r>
        <w:rPr>
          <w:rFonts w:ascii="仿宋" w:hAnsi="仿宋" w:eastAsia="仿宋"/>
          <w:sz w:val="32"/>
          <w:szCs w:val="32"/>
        </w:rPr>
        <w:t>&gt;=90%</w:t>
      </w:r>
      <w:r>
        <w:rPr>
          <w:rFonts w:hint="eastAsia" w:ascii="仿宋" w:hAnsi="仿宋" w:eastAsia="仿宋"/>
          <w:sz w:val="32"/>
          <w:szCs w:val="32"/>
        </w:rPr>
        <w:t>，实际完成</w:t>
      </w:r>
      <w:r>
        <w:rPr>
          <w:rFonts w:ascii="仿宋" w:hAnsi="仿宋" w:eastAsia="仿宋"/>
          <w:sz w:val="32"/>
          <w:szCs w:val="32"/>
        </w:rPr>
        <w:t>0%</w:t>
      </w:r>
      <w:r>
        <w:rPr>
          <w:rFonts w:hint="eastAsia" w:ascii="仿宋" w:hAnsi="仿宋" w:eastAsia="仿宋"/>
          <w:sz w:val="32"/>
          <w:szCs w:val="32"/>
        </w:rPr>
        <w:t>，扣2分。扣8.93分。</w:t>
      </w:r>
    </w:p>
    <w:p>
      <w:pPr>
        <w:pBdr>
          <w:top w:val="single" w:color="FFFFFF" w:sz="4" w:space="0"/>
          <w:left w:val="single" w:color="FFFFFF" w:sz="4" w:space="0"/>
          <w:bottom w:val="single" w:color="FFFFFF" w:sz="4" w:space="30"/>
          <w:right w:val="single" w:color="FFFFFF" w:sz="4" w:space="15"/>
        </w:pBdr>
        <w:topLinePunct/>
        <w:adjustRightInd w:val="0"/>
        <w:snapToGrid w:val="0"/>
        <w:spacing w:line="600" w:lineRule="exact"/>
        <w:ind w:firstLine="643"/>
        <w:jc w:val="both"/>
        <w:rPr>
          <w:rFonts w:ascii="仿宋" w:hAnsi="仿宋" w:eastAsia="仿宋"/>
          <w:b/>
          <w:sz w:val="32"/>
          <w:szCs w:val="32"/>
        </w:rPr>
      </w:pPr>
      <w:r>
        <w:rPr>
          <w:rFonts w:hint="eastAsia" w:ascii="仿宋" w:hAnsi="仿宋" w:eastAsia="仿宋"/>
          <w:b/>
          <w:sz w:val="32"/>
          <w:szCs w:val="32"/>
        </w:rPr>
        <w:t>4.能力建设目标完成情况分析</w:t>
      </w:r>
    </w:p>
    <w:p>
      <w:pPr>
        <w:pBdr>
          <w:top w:val="single" w:color="FFFFFF" w:sz="4" w:space="0"/>
          <w:left w:val="single" w:color="FFFFFF" w:sz="4" w:space="0"/>
          <w:bottom w:val="single" w:color="FFFFFF" w:sz="4" w:space="30"/>
          <w:right w:val="single" w:color="FFFFFF" w:sz="4" w:space="15"/>
        </w:pBdr>
        <w:topLinePunct/>
        <w:adjustRightInd w:val="0"/>
        <w:snapToGrid w:val="0"/>
        <w:spacing w:line="600" w:lineRule="exact"/>
        <w:ind w:firstLine="640"/>
        <w:jc w:val="both"/>
        <w:rPr>
          <w:rFonts w:ascii="仿宋" w:hAnsi="仿宋" w:eastAsia="仿宋"/>
          <w:sz w:val="32"/>
          <w:szCs w:val="32"/>
        </w:rPr>
      </w:pPr>
      <w:r>
        <w:rPr>
          <w:rFonts w:hint="eastAsia" w:ascii="仿宋" w:hAnsi="仿宋" w:eastAsia="仿宋"/>
          <w:sz w:val="32"/>
          <w:szCs w:val="32"/>
        </w:rPr>
        <w:t>能力建设指标分值9分，绩效评分9分。能力建设指标包括长效管理、人力资源建设和档案管理</w:t>
      </w:r>
      <w:r>
        <w:rPr>
          <w:rFonts w:ascii="仿宋" w:hAnsi="仿宋" w:eastAsia="仿宋"/>
          <w:sz w:val="32"/>
          <w:szCs w:val="32"/>
        </w:rPr>
        <w:t>3</w:t>
      </w:r>
      <w:r>
        <w:rPr>
          <w:rFonts w:hint="eastAsia" w:ascii="仿宋" w:hAnsi="仿宋" w:eastAsia="仿宋"/>
          <w:sz w:val="32"/>
          <w:szCs w:val="32"/>
        </w:rPr>
        <w:t>个二级指标，其下设置</w:t>
      </w:r>
      <w:r>
        <w:rPr>
          <w:rFonts w:ascii="仿宋" w:hAnsi="仿宋" w:eastAsia="仿宋"/>
          <w:sz w:val="32"/>
          <w:szCs w:val="32"/>
        </w:rPr>
        <w:t>6</w:t>
      </w:r>
      <w:r>
        <w:rPr>
          <w:rFonts w:hint="eastAsia" w:ascii="仿宋" w:hAnsi="仿宋" w:eastAsia="仿宋"/>
          <w:sz w:val="32"/>
          <w:szCs w:val="32"/>
        </w:rPr>
        <w:t>个三级指标。根据二级指标得分情况，甘肃社会主义学院长效管理、人力资源建设和档案管理指标均达到预期目标。</w:t>
      </w:r>
    </w:p>
    <w:p>
      <w:pPr>
        <w:pBdr>
          <w:top w:val="single" w:color="FFFFFF" w:sz="4" w:space="0"/>
          <w:left w:val="single" w:color="FFFFFF" w:sz="4" w:space="0"/>
          <w:bottom w:val="single" w:color="FFFFFF" w:sz="4" w:space="30"/>
          <w:right w:val="single" w:color="FFFFFF" w:sz="4" w:space="15"/>
        </w:pBdr>
        <w:topLinePunct/>
        <w:adjustRightInd w:val="0"/>
        <w:snapToGrid w:val="0"/>
        <w:spacing w:line="600" w:lineRule="exact"/>
        <w:ind w:firstLine="640"/>
        <w:jc w:val="both"/>
        <w:rPr>
          <w:rFonts w:ascii="仿宋" w:hAnsi="仿宋" w:eastAsia="仿宋"/>
          <w:sz w:val="32"/>
          <w:szCs w:val="32"/>
        </w:rPr>
      </w:pPr>
      <w:r>
        <w:rPr>
          <w:rFonts w:hint="eastAsia" w:ascii="楷体" w:hAnsi="楷体" w:eastAsia="楷体"/>
          <w:sz w:val="32"/>
          <w:szCs w:val="32"/>
        </w:rPr>
        <w:t>（四）偏离绩效目标的原因及下一步改进措施</w:t>
      </w:r>
    </w:p>
    <w:p>
      <w:pPr>
        <w:pBdr>
          <w:top w:val="single" w:color="FFFFFF" w:sz="4" w:space="0"/>
          <w:left w:val="single" w:color="FFFFFF" w:sz="4" w:space="0"/>
          <w:bottom w:val="single" w:color="FFFFFF" w:sz="4" w:space="30"/>
          <w:right w:val="single" w:color="FFFFFF" w:sz="4" w:space="15"/>
        </w:pBdr>
        <w:topLinePunct/>
        <w:adjustRightInd w:val="0"/>
        <w:snapToGrid w:val="0"/>
        <w:spacing w:line="600" w:lineRule="exact"/>
        <w:ind w:firstLine="643"/>
        <w:jc w:val="both"/>
        <w:rPr>
          <w:rFonts w:ascii="仿宋" w:hAnsi="仿宋" w:eastAsia="仿宋"/>
          <w:sz w:val="32"/>
          <w:szCs w:val="32"/>
        </w:rPr>
      </w:pPr>
      <w:r>
        <w:rPr>
          <w:rFonts w:hint="eastAsia" w:ascii="仿宋" w:hAnsi="仿宋" w:eastAsia="仿宋"/>
          <w:b/>
          <w:sz w:val="32"/>
          <w:szCs w:val="32"/>
        </w:rPr>
        <w:t>1.偏离原因</w:t>
      </w:r>
      <w:r>
        <w:rPr>
          <w:rFonts w:ascii="仿宋" w:hAnsi="仿宋" w:eastAsia="仿宋"/>
          <w:b/>
          <w:sz w:val="32"/>
          <w:szCs w:val="32"/>
        </w:rPr>
        <w:t>分析</w:t>
      </w:r>
    </w:p>
    <w:p>
      <w:pPr>
        <w:pBdr>
          <w:top w:val="single" w:color="FFFFFF" w:sz="4" w:space="0"/>
          <w:left w:val="single" w:color="FFFFFF" w:sz="4" w:space="0"/>
          <w:bottom w:val="single" w:color="FFFFFF" w:sz="4" w:space="30"/>
          <w:right w:val="single" w:color="FFFFFF" w:sz="4" w:space="15"/>
        </w:pBdr>
        <w:topLinePunct/>
        <w:adjustRightInd w:val="0"/>
        <w:snapToGrid w:val="0"/>
        <w:spacing w:line="600" w:lineRule="exact"/>
        <w:ind w:firstLine="640"/>
        <w:jc w:val="both"/>
        <w:rPr>
          <w:rFonts w:ascii="仿宋" w:hAnsi="仿宋" w:eastAsia="仿宋" w:cs="仿宋_GB2312"/>
          <w:sz w:val="32"/>
          <w:szCs w:val="32"/>
        </w:rPr>
      </w:pPr>
      <w:r>
        <w:rPr>
          <w:rFonts w:hint="eastAsia" w:ascii="仿宋" w:hAnsi="仿宋" w:eastAsia="仿宋"/>
          <w:sz w:val="32"/>
          <w:szCs w:val="32"/>
        </w:rPr>
        <w:t>甘肃社会主义学院“部门履职目标-产出质量指标” “部门效果目标-产出质量指标”未完成</w:t>
      </w:r>
      <w:r>
        <w:rPr>
          <w:rFonts w:ascii="仿宋" w:hAnsi="仿宋" w:eastAsia="仿宋"/>
          <w:sz w:val="32"/>
          <w:szCs w:val="32"/>
        </w:rPr>
        <w:t>原因</w:t>
      </w:r>
      <w:r>
        <w:rPr>
          <w:rFonts w:hint="eastAsia" w:ascii="仿宋" w:hAnsi="仿宋" w:eastAsia="仿宋"/>
          <w:sz w:val="32"/>
          <w:szCs w:val="32"/>
        </w:rPr>
        <w:t>:一</w:t>
      </w:r>
      <w:r>
        <w:rPr>
          <w:rFonts w:ascii="仿宋" w:hAnsi="仿宋" w:eastAsia="仿宋"/>
          <w:sz w:val="32"/>
          <w:szCs w:val="32"/>
        </w:rPr>
        <w:t>是</w:t>
      </w:r>
      <w:r>
        <w:rPr>
          <w:rFonts w:hint="eastAsia" w:ascii="仿宋" w:hAnsi="仿宋" w:eastAsia="仿宋" w:cs="仿宋_GB2312"/>
          <w:sz w:val="32"/>
          <w:szCs w:val="32"/>
        </w:rPr>
        <w:t>受疫情反复影响，</w:t>
      </w:r>
      <w:bookmarkStart w:id="5" w:name="_Hlk128601662"/>
      <w:r>
        <w:rPr>
          <w:rFonts w:hint="eastAsia" w:ascii="仿宋" w:hAnsi="仿宋" w:eastAsia="仿宋" w:cs="仿宋_GB2312"/>
          <w:sz w:val="32"/>
          <w:szCs w:val="32"/>
        </w:rPr>
        <w:t>培训班办班期数减少，对外文化交流活动未开展。二是因公务员津补贴规范的相关规定要求，创新工程项目未启动</w:t>
      </w:r>
      <w:bookmarkEnd w:id="5"/>
      <w:r>
        <w:rPr>
          <w:rFonts w:hint="eastAsia" w:ascii="仿宋" w:hAnsi="仿宋" w:eastAsia="仿宋" w:cs="仿宋_GB2312"/>
          <w:sz w:val="32"/>
          <w:szCs w:val="32"/>
        </w:rPr>
        <w:t>。三是因出版社原因，学术著作未出版。</w:t>
      </w:r>
    </w:p>
    <w:p>
      <w:pPr>
        <w:pBdr>
          <w:top w:val="single" w:color="FFFFFF" w:sz="4" w:space="0"/>
          <w:left w:val="single" w:color="FFFFFF" w:sz="4" w:space="0"/>
          <w:bottom w:val="single" w:color="FFFFFF" w:sz="4" w:space="30"/>
          <w:right w:val="single" w:color="FFFFFF" w:sz="4" w:space="15"/>
        </w:pBdr>
        <w:topLinePunct/>
        <w:adjustRightInd w:val="0"/>
        <w:snapToGrid w:val="0"/>
        <w:spacing w:line="600" w:lineRule="exact"/>
        <w:ind w:firstLine="643"/>
        <w:jc w:val="both"/>
        <w:rPr>
          <w:rFonts w:ascii="仿宋" w:hAnsi="仿宋" w:eastAsia="仿宋"/>
          <w:b/>
          <w:sz w:val="32"/>
          <w:szCs w:val="32"/>
        </w:rPr>
      </w:pPr>
      <w:r>
        <w:rPr>
          <w:rFonts w:hint="eastAsia" w:ascii="仿宋" w:hAnsi="仿宋" w:eastAsia="仿宋"/>
          <w:b/>
          <w:sz w:val="32"/>
          <w:szCs w:val="32"/>
        </w:rPr>
        <w:t>2.下一步</w:t>
      </w:r>
      <w:r>
        <w:rPr>
          <w:rFonts w:ascii="仿宋" w:hAnsi="仿宋" w:eastAsia="仿宋"/>
          <w:b/>
          <w:sz w:val="32"/>
          <w:szCs w:val="32"/>
        </w:rPr>
        <w:t>改进措施</w:t>
      </w:r>
    </w:p>
    <w:p>
      <w:pPr>
        <w:pBdr>
          <w:top w:val="single" w:color="FFFFFF" w:sz="4" w:space="0"/>
          <w:left w:val="single" w:color="FFFFFF" w:sz="4" w:space="0"/>
          <w:bottom w:val="single" w:color="FFFFFF" w:sz="4" w:space="30"/>
          <w:right w:val="single" w:color="FFFFFF" w:sz="4" w:space="15"/>
        </w:pBdr>
        <w:topLinePunct/>
        <w:adjustRightInd w:val="0"/>
        <w:snapToGrid w:val="0"/>
        <w:spacing w:line="600" w:lineRule="exact"/>
        <w:ind w:firstLine="640"/>
        <w:jc w:val="both"/>
        <w:rPr>
          <w:rFonts w:ascii="仿宋" w:hAnsi="仿宋" w:eastAsia="仿宋"/>
          <w:sz w:val="32"/>
          <w:szCs w:val="32"/>
        </w:rPr>
      </w:pPr>
      <w:r>
        <w:rPr>
          <w:rFonts w:hint="eastAsia" w:ascii="仿宋" w:hAnsi="仿宋" w:eastAsia="仿宋"/>
          <w:sz w:val="32"/>
          <w:szCs w:val="32"/>
        </w:rPr>
        <w:t>一是加强预算管理，确保项目支出进度，提高执行率。二是加强与相关部门沟通协作，及时衔接项目，早谋划、早运作，不断提升项目效益。三是持续加强绩效评价管理工作，科学合理设置绩效目标，做好项目跟进和绩效监控，高度重视绩效自评结果运用，进一步完善工作措施，明确各部门的主体责任，巩固</w:t>
      </w:r>
      <w:r>
        <w:rPr>
          <w:rFonts w:ascii="仿宋" w:hAnsi="仿宋" w:eastAsia="仿宋"/>
          <w:sz w:val="32"/>
          <w:szCs w:val="32"/>
        </w:rPr>
        <w:t>绩效管理</w:t>
      </w:r>
      <w:r>
        <w:rPr>
          <w:rFonts w:hint="eastAsia" w:ascii="仿宋" w:hAnsi="仿宋" w:eastAsia="仿宋"/>
          <w:sz w:val="32"/>
          <w:szCs w:val="32"/>
        </w:rPr>
        <w:t>成果</w:t>
      </w:r>
      <w:r>
        <w:rPr>
          <w:rFonts w:ascii="仿宋" w:hAnsi="仿宋" w:eastAsia="仿宋"/>
          <w:sz w:val="32"/>
          <w:szCs w:val="32"/>
        </w:rPr>
        <w:t>。</w:t>
      </w:r>
    </w:p>
    <w:p>
      <w:pPr>
        <w:pBdr>
          <w:top w:val="single" w:color="FFFFFF" w:sz="4" w:space="0"/>
          <w:left w:val="single" w:color="FFFFFF" w:sz="4" w:space="0"/>
          <w:bottom w:val="single" w:color="FFFFFF" w:sz="4" w:space="30"/>
          <w:right w:val="single" w:color="FFFFFF" w:sz="4" w:space="15"/>
        </w:pBdr>
        <w:topLinePunct/>
        <w:adjustRightInd w:val="0"/>
        <w:snapToGrid w:val="0"/>
        <w:spacing w:line="600" w:lineRule="exact"/>
        <w:ind w:firstLine="640"/>
        <w:jc w:val="both"/>
        <w:rPr>
          <w:rFonts w:ascii="黑体" w:hAnsi="黑体" w:eastAsia="黑体"/>
          <w:sz w:val="32"/>
          <w:szCs w:val="32"/>
        </w:rPr>
      </w:pPr>
      <w:r>
        <w:rPr>
          <w:rFonts w:hint="eastAsia" w:ascii="黑体" w:hAnsi="黑体" w:eastAsia="黑体"/>
          <w:sz w:val="32"/>
          <w:szCs w:val="32"/>
        </w:rPr>
        <w:t>四、部门预算项目支出绩效自评情况分析</w:t>
      </w:r>
      <w:r>
        <w:rPr>
          <w:rFonts w:hint="eastAsia" w:ascii="黑体" w:hAnsi="黑体" w:eastAsia="黑体"/>
          <w:sz w:val="32"/>
          <w:szCs w:val="32"/>
        </w:rPr>
        <w:tab/>
      </w:r>
    </w:p>
    <w:p>
      <w:pPr>
        <w:pBdr>
          <w:top w:val="single" w:color="FFFFFF" w:sz="4" w:space="0"/>
          <w:left w:val="single" w:color="FFFFFF" w:sz="4" w:space="0"/>
          <w:bottom w:val="single" w:color="FFFFFF" w:sz="4" w:space="30"/>
          <w:right w:val="single" w:color="FFFFFF" w:sz="4" w:space="15"/>
        </w:pBdr>
        <w:topLinePunct/>
        <w:adjustRightInd w:val="0"/>
        <w:snapToGrid w:val="0"/>
        <w:spacing w:line="600" w:lineRule="exact"/>
        <w:ind w:firstLine="640"/>
        <w:jc w:val="both"/>
        <w:rPr>
          <w:rFonts w:ascii="仿宋" w:hAnsi="仿宋" w:eastAsia="仿宋" w:cs="宋体"/>
          <w:sz w:val="32"/>
          <w:szCs w:val="32"/>
        </w:rPr>
      </w:pPr>
      <w:r>
        <w:rPr>
          <w:rFonts w:hint="eastAsia" w:ascii="仿宋" w:hAnsi="仿宋" w:eastAsia="仿宋" w:cs="宋体"/>
          <w:sz w:val="32"/>
          <w:szCs w:val="32"/>
        </w:rPr>
        <w:t>2022年初甘肃社会主义学院预算支出项目1个，当年预算资金安排600万元，通过自评，项目结果为“良好”。自评情况分析如下：</w:t>
      </w:r>
    </w:p>
    <w:p>
      <w:pPr>
        <w:pBdr>
          <w:top w:val="single" w:color="FFFFFF" w:sz="4" w:space="0"/>
          <w:left w:val="single" w:color="FFFFFF" w:sz="4" w:space="0"/>
          <w:bottom w:val="single" w:color="FFFFFF" w:sz="4" w:space="30"/>
          <w:right w:val="single" w:color="FFFFFF" w:sz="4" w:space="15"/>
        </w:pBdr>
        <w:topLinePunct/>
        <w:adjustRightInd w:val="0"/>
        <w:snapToGrid w:val="0"/>
        <w:spacing w:line="600" w:lineRule="exact"/>
        <w:ind w:firstLine="643"/>
        <w:jc w:val="both"/>
        <w:rPr>
          <w:rFonts w:ascii="仿宋" w:hAnsi="仿宋" w:eastAsia="仿宋" w:cs="宋体"/>
          <w:b/>
          <w:bCs/>
          <w:sz w:val="32"/>
          <w:szCs w:val="32"/>
        </w:rPr>
      </w:pPr>
      <w:r>
        <w:rPr>
          <w:rFonts w:hint="eastAsia" w:ascii="仿宋" w:hAnsi="仿宋" w:eastAsia="仿宋" w:cs="宋体"/>
          <w:b/>
          <w:bCs/>
          <w:sz w:val="32"/>
          <w:szCs w:val="32"/>
        </w:rPr>
        <w:t xml:space="preserve"> 1.项目支出预算执行情况</w:t>
      </w:r>
    </w:p>
    <w:p>
      <w:pPr>
        <w:pBdr>
          <w:top w:val="single" w:color="FFFFFF" w:sz="4" w:space="0"/>
          <w:left w:val="single" w:color="FFFFFF" w:sz="4" w:space="0"/>
          <w:bottom w:val="single" w:color="FFFFFF" w:sz="4" w:space="30"/>
          <w:right w:val="single" w:color="FFFFFF" w:sz="4" w:space="15"/>
        </w:pBdr>
        <w:topLinePunct/>
        <w:adjustRightInd w:val="0"/>
        <w:snapToGrid w:val="0"/>
        <w:spacing w:line="600" w:lineRule="exact"/>
        <w:ind w:firstLine="640"/>
        <w:jc w:val="both"/>
        <w:rPr>
          <w:rFonts w:ascii="仿宋" w:hAnsi="仿宋" w:eastAsia="仿宋"/>
          <w:sz w:val="32"/>
          <w:szCs w:val="32"/>
        </w:rPr>
      </w:pPr>
      <w:r>
        <w:rPr>
          <w:rFonts w:hint="eastAsia" w:ascii="仿宋" w:hAnsi="仿宋" w:eastAsia="仿宋" w:cs="Times New Roman"/>
          <w:sz w:val="32"/>
          <w:szCs w:val="32"/>
        </w:rPr>
        <w:t>根据《甘肃省财政厅关于下达2022年省级部门预算及绩效目标的批复》（甘财预〔2022〕2号）文件精神，2022年度省级财政厅年初下达我院办学补助及科研理论研究创新工程经费共计600万元，</w:t>
      </w:r>
      <w:r>
        <w:rPr>
          <w:rFonts w:hint="eastAsia" w:ascii="仿宋" w:hAnsi="仿宋" w:eastAsia="仿宋"/>
          <w:sz w:val="32"/>
          <w:szCs w:val="32"/>
        </w:rPr>
        <w:t>实际预算资金588.82万元，实际支出407.28万元，预算执行率69.17%。</w:t>
      </w:r>
    </w:p>
    <w:p>
      <w:pPr>
        <w:pBdr>
          <w:top w:val="single" w:color="FFFFFF" w:sz="4" w:space="0"/>
          <w:left w:val="single" w:color="FFFFFF" w:sz="4" w:space="0"/>
          <w:bottom w:val="single" w:color="FFFFFF" w:sz="4" w:space="30"/>
          <w:right w:val="single" w:color="FFFFFF" w:sz="4" w:space="15"/>
        </w:pBdr>
        <w:topLinePunct/>
        <w:adjustRightInd w:val="0"/>
        <w:snapToGrid w:val="0"/>
        <w:spacing w:line="600" w:lineRule="exact"/>
        <w:ind w:firstLine="643"/>
        <w:jc w:val="both"/>
        <w:rPr>
          <w:rFonts w:ascii="仿宋" w:hAnsi="仿宋" w:eastAsia="仿宋" w:cs="宋体"/>
          <w:b/>
          <w:bCs/>
          <w:sz w:val="32"/>
          <w:szCs w:val="32"/>
        </w:rPr>
      </w:pPr>
      <w:r>
        <w:rPr>
          <w:rFonts w:hint="eastAsia" w:ascii="仿宋" w:hAnsi="仿宋" w:eastAsia="仿宋" w:cs="宋体"/>
          <w:b/>
          <w:bCs/>
          <w:sz w:val="32"/>
          <w:szCs w:val="32"/>
        </w:rPr>
        <w:t>2.总体绩效目标完成情况分析</w:t>
      </w:r>
    </w:p>
    <w:p>
      <w:pPr>
        <w:pBdr>
          <w:top w:val="single" w:color="FFFFFF" w:sz="4" w:space="0"/>
          <w:left w:val="single" w:color="FFFFFF" w:sz="4" w:space="0"/>
          <w:bottom w:val="single" w:color="FFFFFF" w:sz="4" w:space="30"/>
          <w:right w:val="single" w:color="FFFFFF" w:sz="4" w:space="15"/>
        </w:pBdr>
        <w:topLinePunct/>
        <w:adjustRightInd w:val="0"/>
        <w:snapToGrid w:val="0"/>
        <w:spacing w:line="600" w:lineRule="exact"/>
        <w:ind w:firstLine="640"/>
        <w:jc w:val="both"/>
        <w:rPr>
          <w:rFonts w:ascii="宋体" w:hAnsi="宋体" w:eastAsia="宋体" w:cs="宋体"/>
          <w:color w:val="000000"/>
          <w:kern w:val="0"/>
          <w:sz w:val="20"/>
          <w:szCs w:val="20"/>
        </w:rPr>
      </w:pPr>
      <w:r>
        <w:rPr>
          <w:rFonts w:hint="eastAsia" w:ascii="仿宋" w:hAnsi="仿宋" w:eastAsia="仿宋" w:cs="Times New Roman"/>
          <w:sz w:val="32"/>
          <w:szCs w:val="32"/>
        </w:rPr>
        <w:t>2022年度省财政厅下达我院办学补助及科研理论研究创新工程经费项目总体目标：</w:t>
      </w:r>
      <w:r>
        <w:rPr>
          <w:rFonts w:hint="eastAsia" w:ascii="仿宋" w:hAnsi="仿宋" w:eastAsia="仿宋" w:cs="仿宋_GB2312"/>
          <w:sz w:val="32"/>
          <w:szCs w:val="32"/>
        </w:rPr>
        <w:t>2022年，该项目工作计划如下：</w:t>
      </w:r>
      <w:r>
        <w:rPr>
          <w:rFonts w:hint="eastAsia" w:ascii="仿宋" w:hAnsi="仿宋" w:eastAsia="仿宋" w:cs="Times New Roman"/>
          <w:sz w:val="32"/>
          <w:szCs w:val="32"/>
        </w:rPr>
        <w:t>1、教学培训质量进一步提高，突出培训特色，参训单位及学员满意度继续提高。2、完成2022年学院科研工作规划目标任务，科研成果数量和质量稳步提升。3、完成文化交流、中华优秀传统文化系列讲座等任务，推动甘肃中华文化学院工作顺利开展，增强文化自信。4、完成教学科研管理服务创新工程各项工作任务。5、《甘肃统战理论研究》编印质量进一步提高，扩大影响力6、加强后勤内控管理和精细核算，规范员工管理机制，消除安全隐患，确保完成各类培训班服务保障任务，设施设备维护维修任务及物业服务管理任务，进一步提高运营效益，提升服务满意度。</w:t>
      </w:r>
    </w:p>
    <w:p>
      <w:pPr>
        <w:pBdr>
          <w:top w:val="single" w:color="FFFFFF" w:sz="4" w:space="0"/>
          <w:left w:val="single" w:color="FFFFFF" w:sz="4" w:space="0"/>
          <w:bottom w:val="single" w:color="FFFFFF" w:sz="4" w:space="30"/>
          <w:right w:val="single" w:color="FFFFFF" w:sz="4" w:space="15"/>
        </w:pBdr>
        <w:topLinePunct/>
        <w:adjustRightInd w:val="0"/>
        <w:snapToGrid w:val="0"/>
        <w:spacing w:line="600" w:lineRule="exact"/>
        <w:ind w:firstLine="640"/>
        <w:jc w:val="both"/>
        <w:rPr>
          <w:rFonts w:ascii="仿宋" w:hAnsi="仿宋" w:eastAsia="仿宋" w:cs="仿宋"/>
          <w:sz w:val="32"/>
          <w:szCs w:val="32"/>
        </w:rPr>
      </w:pPr>
      <w:r>
        <w:rPr>
          <w:rFonts w:hint="eastAsia" w:ascii="仿宋" w:hAnsi="仿宋" w:eastAsia="仿宋" w:cs="仿宋_GB2312"/>
          <w:sz w:val="32"/>
          <w:szCs w:val="32"/>
        </w:rPr>
        <w:t>项目完成情况如下：共举办各类培训班32期，培训学员2374人次，学报印发数量达2600本以上，中华优秀传统文化系列讲座8场，期刊发表论文数量10篇；科研课题完成项数14个,科研成果汇编3部,科研成果资助29项。进一步加强财务内控、后勤保障、办文办会、机要保密、宣传信息等规范管理工作，圆满完成各类培训班次和会务保障服务工作，做到精细化管理、全流程服务，实现服务水平新提高。</w:t>
      </w:r>
      <w:r>
        <w:rPr>
          <w:rFonts w:hint="eastAsia" w:ascii="仿宋" w:hAnsi="仿宋" w:eastAsia="仿宋" w:cs="仿宋"/>
          <w:sz w:val="32"/>
          <w:szCs w:val="32"/>
        </w:rPr>
        <w:t>该项目自评得分84.46分，评价为“良好”。</w:t>
      </w:r>
    </w:p>
    <w:p>
      <w:pPr>
        <w:pBdr>
          <w:top w:val="single" w:color="FFFFFF" w:sz="4" w:space="0"/>
          <w:left w:val="single" w:color="FFFFFF" w:sz="4" w:space="0"/>
          <w:bottom w:val="single" w:color="FFFFFF" w:sz="4" w:space="30"/>
          <w:right w:val="single" w:color="FFFFFF" w:sz="4" w:space="15"/>
        </w:pBdr>
        <w:topLinePunct/>
        <w:adjustRightInd w:val="0"/>
        <w:snapToGrid w:val="0"/>
        <w:spacing w:line="600" w:lineRule="exact"/>
        <w:ind w:firstLine="643"/>
        <w:jc w:val="both"/>
        <w:rPr>
          <w:rFonts w:asciiTheme="minorEastAsia" w:hAnsiTheme="minorEastAsia"/>
        </w:rPr>
      </w:pPr>
      <w:r>
        <w:rPr>
          <w:rFonts w:hint="eastAsia" w:ascii="仿宋" w:hAnsi="仿宋" w:eastAsia="仿宋" w:cs="宋体"/>
          <w:b/>
          <w:bCs/>
          <w:sz w:val="32"/>
          <w:szCs w:val="32"/>
        </w:rPr>
        <w:t xml:space="preserve"> 3.各项指标完成情况分析</w:t>
      </w:r>
    </w:p>
    <w:p>
      <w:pPr>
        <w:pBdr>
          <w:top w:val="single" w:color="FFFFFF" w:sz="4" w:space="0"/>
          <w:left w:val="single" w:color="FFFFFF" w:sz="4" w:space="0"/>
          <w:bottom w:val="single" w:color="FFFFFF" w:sz="4" w:space="30"/>
          <w:right w:val="single" w:color="FFFFFF" w:sz="4" w:space="15"/>
        </w:pBdr>
        <w:topLinePunct/>
        <w:adjustRightInd w:val="0"/>
        <w:snapToGrid w:val="0"/>
        <w:spacing w:line="600" w:lineRule="exact"/>
        <w:ind w:firstLine="640"/>
        <w:jc w:val="both"/>
        <w:rPr>
          <w:rFonts w:ascii="仿宋" w:hAnsi="仿宋" w:eastAsia="仿宋" w:cs="仿宋_GB2312"/>
          <w:sz w:val="32"/>
          <w:szCs w:val="32"/>
        </w:rPr>
      </w:pPr>
      <w:r>
        <w:rPr>
          <w:rFonts w:ascii="仿宋" w:hAnsi="仿宋" w:eastAsia="仿宋" w:cs="仿宋_GB2312"/>
          <w:sz w:val="32"/>
          <w:szCs w:val="32"/>
        </w:rPr>
        <w:t>(1）预算资金执行率满分10分，预算执行率</w:t>
      </w:r>
      <w:r>
        <w:rPr>
          <w:rFonts w:hint="eastAsia" w:ascii="仿宋" w:hAnsi="仿宋" w:eastAsia="仿宋" w:cs="仿宋_GB2312"/>
          <w:sz w:val="32"/>
          <w:szCs w:val="32"/>
        </w:rPr>
        <w:t>69.17</w:t>
      </w:r>
      <w:r>
        <w:rPr>
          <w:rFonts w:ascii="仿宋" w:hAnsi="仿宋" w:eastAsia="仿宋" w:cs="仿宋_GB2312"/>
          <w:sz w:val="32"/>
          <w:szCs w:val="32"/>
        </w:rPr>
        <w:t>%，得</w:t>
      </w:r>
      <w:r>
        <w:rPr>
          <w:rFonts w:hint="eastAsia" w:ascii="仿宋" w:hAnsi="仿宋" w:eastAsia="仿宋" w:cs="仿宋_GB2312"/>
          <w:sz w:val="32"/>
          <w:szCs w:val="32"/>
        </w:rPr>
        <w:t>6.917分。</w:t>
      </w:r>
    </w:p>
    <w:p>
      <w:pPr>
        <w:pBdr>
          <w:top w:val="single" w:color="FFFFFF" w:sz="4" w:space="0"/>
          <w:left w:val="single" w:color="FFFFFF" w:sz="4" w:space="0"/>
          <w:bottom w:val="single" w:color="FFFFFF" w:sz="4" w:space="30"/>
          <w:right w:val="single" w:color="FFFFFF" w:sz="4" w:space="15"/>
        </w:pBdr>
        <w:topLinePunct/>
        <w:adjustRightInd w:val="0"/>
        <w:snapToGrid w:val="0"/>
        <w:spacing w:line="600" w:lineRule="exact"/>
        <w:ind w:firstLine="640"/>
        <w:jc w:val="both"/>
        <w:rPr>
          <w:rFonts w:hint="eastAsia" w:ascii="仿宋" w:hAnsi="仿宋" w:eastAsia="仿宋" w:cs="仿宋_GB2312"/>
          <w:sz w:val="32"/>
          <w:szCs w:val="32"/>
        </w:rPr>
      </w:pPr>
      <w:r>
        <w:rPr>
          <w:rFonts w:ascii="仿宋" w:hAnsi="仿宋" w:eastAsia="仿宋" w:cs="仿宋_GB2312"/>
          <w:sz w:val="32"/>
          <w:szCs w:val="32"/>
        </w:rPr>
        <w:t>(2）产出指标满分50分，得分</w:t>
      </w:r>
      <w:r>
        <w:rPr>
          <w:rFonts w:hint="eastAsia" w:ascii="仿宋" w:hAnsi="仿宋" w:eastAsia="仿宋" w:cs="仿宋_GB2312"/>
          <w:sz w:val="32"/>
          <w:szCs w:val="32"/>
        </w:rPr>
        <w:t>37.54</w:t>
      </w:r>
      <w:r>
        <w:rPr>
          <w:rFonts w:ascii="仿宋" w:hAnsi="仿宋" w:eastAsia="仿宋" w:cs="仿宋_GB2312"/>
          <w:sz w:val="32"/>
          <w:szCs w:val="32"/>
        </w:rPr>
        <w:t>分，得分率</w:t>
      </w:r>
      <w:r>
        <w:rPr>
          <w:rFonts w:hint="eastAsia" w:ascii="仿宋" w:hAnsi="仿宋" w:eastAsia="仿宋" w:cs="仿宋_GB2312"/>
          <w:sz w:val="32"/>
          <w:szCs w:val="32"/>
        </w:rPr>
        <w:t>75.08</w:t>
      </w:r>
      <w:r>
        <w:rPr>
          <w:rFonts w:ascii="仿宋" w:hAnsi="仿宋" w:eastAsia="仿宋" w:cs="仿宋_GB2312"/>
          <w:sz w:val="32"/>
          <w:szCs w:val="32"/>
        </w:rPr>
        <w:t>%。其中：数量指标满分</w:t>
      </w:r>
      <w:r>
        <w:rPr>
          <w:rFonts w:hint="eastAsia" w:ascii="仿宋" w:hAnsi="仿宋" w:eastAsia="仿宋" w:cs="仿宋_GB2312"/>
          <w:sz w:val="32"/>
          <w:szCs w:val="32"/>
        </w:rPr>
        <w:t>22.76</w:t>
      </w:r>
      <w:r>
        <w:rPr>
          <w:rFonts w:ascii="仿宋" w:hAnsi="仿宋" w:eastAsia="仿宋" w:cs="仿宋_GB2312"/>
          <w:sz w:val="32"/>
          <w:szCs w:val="32"/>
        </w:rPr>
        <w:t>分，得分</w:t>
      </w:r>
      <w:r>
        <w:rPr>
          <w:rFonts w:hint="eastAsia" w:ascii="仿宋" w:hAnsi="仿宋" w:eastAsia="仿宋" w:cs="仿宋_GB2312"/>
          <w:sz w:val="32"/>
          <w:szCs w:val="32"/>
        </w:rPr>
        <w:t>14.86</w:t>
      </w:r>
      <w:r>
        <w:rPr>
          <w:rFonts w:ascii="仿宋" w:hAnsi="仿宋" w:eastAsia="仿宋" w:cs="仿宋_GB2312"/>
          <w:sz w:val="32"/>
          <w:szCs w:val="32"/>
        </w:rPr>
        <w:t>分；质量指标满分</w:t>
      </w:r>
      <w:r>
        <w:rPr>
          <w:rFonts w:hint="eastAsia" w:ascii="仿宋" w:hAnsi="仿宋" w:eastAsia="仿宋" w:cs="仿宋_GB2312"/>
          <w:sz w:val="32"/>
          <w:szCs w:val="32"/>
        </w:rPr>
        <w:t>13.62</w:t>
      </w:r>
      <w:r>
        <w:rPr>
          <w:rFonts w:ascii="仿宋" w:hAnsi="仿宋" w:eastAsia="仿宋" w:cs="仿宋_GB2312"/>
          <w:sz w:val="32"/>
          <w:szCs w:val="32"/>
        </w:rPr>
        <w:t>分，得分</w:t>
      </w:r>
      <w:r>
        <w:rPr>
          <w:rFonts w:hint="eastAsia" w:ascii="仿宋" w:hAnsi="仿宋" w:eastAsia="仿宋" w:cs="仿宋_GB2312"/>
          <w:sz w:val="32"/>
          <w:szCs w:val="32"/>
        </w:rPr>
        <w:t>11.33</w:t>
      </w:r>
      <w:r>
        <w:rPr>
          <w:rFonts w:ascii="仿宋" w:hAnsi="仿宋" w:eastAsia="仿宋" w:cs="仿宋_GB2312"/>
          <w:sz w:val="32"/>
          <w:szCs w:val="32"/>
        </w:rPr>
        <w:t>分；时效指标满分</w:t>
      </w:r>
      <w:r>
        <w:rPr>
          <w:rFonts w:hint="eastAsia" w:ascii="仿宋" w:hAnsi="仿宋" w:eastAsia="仿宋" w:cs="仿宋_GB2312"/>
          <w:sz w:val="32"/>
          <w:szCs w:val="32"/>
        </w:rPr>
        <w:t>11.35</w:t>
      </w:r>
      <w:r>
        <w:rPr>
          <w:rFonts w:ascii="仿宋" w:hAnsi="仿宋" w:eastAsia="仿宋" w:cs="仿宋_GB2312"/>
          <w:sz w:val="32"/>
          <w:szCs w:val="32"/>
        </w:rPr>
        <w:t>分，得分</w:t>
      </w:r>
      <w:r>
        <w:rPr>
          <w:rFonts w:hint="eastAsia" w:ascii="仿宋" w:hAnsi="仿宋" w:eastAsia="仿宋" w:cs="仿宋_GB2312"/>
          <w:sz w:val="32"/>
          <w:szCs w:val="32"/>
        </w:rPr>
        <w:t>9.08</w:t>
      </w:r>
      <w:r>
        <w:rPr>
          <w:rFonts w:ascii="仿宋" w:hAnsi="仿宋" w:eastAsia="仿宋" w:cs="仿宋_GB2312"/>
          <w:sz w:val="32"/>
          <w:szCs w:val="32"/>
        </w:rPr>
        <w:t>分；成本指标满分</w:t>
      </w:r>
      <w:r>
        <w:rPr>
          <w:rFonts w:hint="eastAsia" w:ascii="仿宋" w:hAnsi="仿宋" w:eastAsia="仿宋" w:cs="仿宋_GB2312"/>
          <w:sz w:val="32"/>
          <w:szCs w:val="32"/>
        </w:rPr>
        <w:t>2.27</w:t>
      </w:r>
      <w:r>
        <w:rPr>
          <w:rFonts w:ascii="仿宋" w:hAnsi="仿宋" w:eastAsia="仿宋" w:cs="仿宋_GB2312"/>
          <w:sz w:val="32"/>
          <w:szCs w:val="32"/>
        </w:rPr>
        <w:t>分，得分</w:t>
      </w:r>
      <w:r>
        <w:rPr>
          <w:rFonts w:hint="eastAsia" w:ascii="仿宋" w:hAnsi="仿宋" w:eastAsia="仿宋" w:cs="仿宋_GB2312"/>
          <w:sz w:val="32"/>
          <w:szCs w:val="32"/>
        </w:rPr>
        <w:t>2.27</w:t>
      </w:r>
      <w:r>
        <w:rPr>
          <w:rFonts w:ascii="仿宋" w:hAnsi="仿宋" w:eastAsia="仿宋" w:cs="仿宋_GB2312"/>
          <w:sz w:val="32"/>
          <w:szCs w:val="32"/>
        </w:rPr>
        <w:t>分。</w:t>
      </w:r>
    </w:p>
    <w:p>
      <w:pPr>
        <w:pBdr>
          <w:top w:val="single" w:color="FFFFFF" w:sz="4" w:space="0"/>
          <w:left w:val="single" w:color="FFFFFF" w:sz="4" w:space="0"/>
          <w:bottom w:val="single" w:color="FFFFFF" w:sz="4" w:space="30"/>
          <w:right w:val="single" w:color="FFFFFF" w:sz="4" w:space="15"/>
        </w:pBdr>
        <w:topLinePunct/>
        <w:adjustRightInd w:val="0"/>
        <w:snapToGrid w:val="0"/>
        <w:spacing w:line="600" w:lineRule="exact"/>
        <w:ind w:firstLine="678" w:firstLineChars="212"/>
        <w:jc w:val="both"/>
        <w:rPr>
          <w:rFonts w:ascii="仿宋" w:hAnsi="仿宋" w:eastAsia="仿宋" w:cs="仿宋_GB2312"/>
          <w:sz w:val="32"/>
          <w:szCs w:val="32"/>
        </w:rPr>
      </w:pPr>
      <w:r>
        <w:rPr>
          <w:rFonts w:ascii="仿宋" w:hAnsi="仿宋" w:eastAsia="仿宋" w:cs="仿宋_GB2312"/>
          <w:sz w:val="32"/>
          <w:szCs w:val="32"/>
        </w:rPr>
        <w:t>(3）效益指标满分30分，得分</w:t>
      </w:r>
      <w:r>
        <w:rPr>
          <w:rFonts w:hint="eastAsia" w:ascii="仿宋" w:hAnsi="仿宋" w:eastAsia="仿宋" w:cs="仿宋_GB2312"/>
          <w:sz w:val="32"/>
          <w:szCs w:val="32"/>
        </w:rPr>
        <w:t>30</w:t>
      </w:r>
      <w:r>
        <w:rPr>
          <w:rFonts w:ascii="仿宋" w:hAnsi="仿宋" w:eastAsia="仿宋" w:cs="仿宋_GB2312"/>
          <w:sz w:val="32"/>
          <w:szCs w:val="32"/>
        </w:rPr>
        <w:t>分，得分率</w:t>
      </w:r>
      <w:r>
        <w:rPr>
          <w:rFonts w:hint="eastAsia" w:ascii="仿宋" w:hAnsi="仿宋" w:eastAsia="仿宋" w:cs="仿宋_GB2312"/>
          <w:sz w:val="32"/>
          <w:szCs w:val="32"/>
        </w:rPr>
        <w:t>100</w:t>
      </w:r>
      <w:r>
        <w:rPr>
          <w:rFonts w:ascii="仿宋" w:hAnsi="仿宋" w:eastAsia="仿宋" w:cs="仿宋_GB2312"/>
          <w:sz w:val="32"/>
          <w:szCs w:val="32"/>
        </w:rPr>
        <w:t>%。</w:t>
      </w:r>
    </w:p>
    <w:p>
      <w:pPr>
        <w:pBdr>
          <w:top w:val="single" w:color="FFFFFF" w:sz="4" w:space="0"/>
          <w:left w:val="single" w:color="FFFFFF" w:sz="4" w:space="0"/>
          <w:bottom w:val="single" w:color="FFFFFF" w:sz="4" w:space="30"/>
          <w:right w:val="single" w:color="FFFFFF" w:sz="4" w:space="15"/>
        </w:pBdr>
        <w:topLinePunct/>
        <w:adjustRightInd w:val="0"/>
        <w:snapToGrid w:val="0"/>
        <w:spacing w:line="600" w:lineRule="exact"/>
        <w:ind w:firstLine="678" w:firstLineChars="212"/>
        <w:jc w:val="both"/>
        <w:rPr>
          <w:rFonts w:hint="eastAsia" w:ascii="仿宋" w:hAnsi="仿宋" w:eastAsia="仿宋" w:cs="仿宋_GB2312"/>
          <w:sz w:val="32"/>
          <w:szCs w:val="32"/>
        </w:rPr>
      </w:pPr>
      <w:r>
        <w:rPr>
          <w:rFonts w:ascii="仿宋" w:hAnsi="仿宋" w:eastAsia="仿宋" w:cs="仿宋_GB2312"/>
          <w:sz w:val="32"/>
          <w:szCs w:val="32"/>
        </w:rPr>
        <w:t>(</w:t>
      </w:r>
      <w:r>
        <w:rPr>
          <w:rFonts w:hint="eastAsia" w:ascii="仿宋" w:hAnsi="仿宋" w:eastAsia="仿宋" w:cs="仿宋_GB2312"/>
          <w:sz w:val="32"/>
          <w:szCs w:val="32"/>
        </w:rPr>
        <w:t>4</w:t>
      </w:r>
      <w:r>
        <w:rPr>
          <w:rFonts w:ascii="仿宋" w:hAnsi="仿宋" w:eastAsia="仿宋" w:cs="仿宋_GB2312"/>
          <w:sz w:val="32"/>
          <w:szCs w:val="32"/>
        </w:rPr>
        <w:t>）</w:t>
      </w:r>
      <w:r>
        <w:rPr>
          <w:rFonts w:hint="eastAsia" w:ascii="仿宋" w:hAnsi="仿宋" w:eastAsia="仿宋" w:cs="仿宋_GB2312"/>
          <w:sz w:val="32"/>
          <w:szCs w:val="32"/>
        </w:rPr>
        <w:t>满意度</w:t>
      </w:r>
      <w:r>
        <w:rPr>
          <w:rFonts w:ascii="仿宋" w:hAnsi="仿宋" w:eastAsia="仿宋" w:cs="仿宋_GB2312"/>
          <w:sz w:val="32"/>
          <w:szCs w:val="32"/>
        </w:rPr>
        <w:t>指标满分</w:t>
      </w:r>
      <w:r>
        <w:rPr>
          <w:rFonts w:hint="eastAsia" w:ascii="仿宋" w:hAnsi="仿宋" w:eastAsia="仿宋" w:cs="仿宋_GB2312"/>
          <w:sz w:val="32"/>
          <w:szCs w:val="32"/>
        </w:rPr>
        <w:t>10</w:t>
      </w:r>
      <w:r>
        <w:rPr>
          <w:rFonts w:ascii="仿宋" w:hAnsi="仿宋" w:eastAsia="仿宋" w:cs="仿宋_GB2312"/>
          <w:sz w:val="32"/>
          <w:szCs w:val="32"/>
        </w:rPr>
        <w:t>分，得分</w:t>
      </w:r>
      <w:r>
        <w:rPr>
          <w:rFonts w:hint="eastAsia" w:ascii="仿宋" w:hAnsi="仿宋" w:eastAsia="仿宋" w:cs="仿宋_GB2312"/>
          <w:sz w:val="32"/>
          <w:szCs w:val="32"/>
        </w:rPr>
        <w:t>10</w:t>
      </w:r>
      <w:r>
        <w:rPr>
          <w:rFonts w:ascii="仿宋" w:hAnsi="仿宋" w:eastAsia="仿宋" w:cs="仿宋_GB2312"/>
          <w:sz w:val="32"/>
          <w:szCs w:val="32"/>
        </w:rPr>
        <w:t>分，得分率</w:t>
      </w:r>
      <w:r>
        <w:rPr>
          <w:rFonts w:hint="eastAsia" w:ascii="仿宋" w:hAnsi="仿宋" w:eastAsia="仿宋" w:cs="仿宋_GB2312"/>
          <w:sz w:val="32"/>
          <w:szCs w:val="32"/>
        </w:rPr>
        <w:t>100</w:t>
      </w:r>
      <w:r>
        <w:rPr>
          <w:rFonts w:ascii="仿宋" w:hAnsi="仿宋" w:eastAsia="仿宋" w:cs="仿宋_GB2312"/>
          <w:sz w:val="32"/>
          <w:szCs w:val="32"/>
        </w:rPr>
        <w:t>%</w:t>
      </w:r>
      <w:r>
        <w:rPr>
          <w:rFonts w:hint="eastAsia" w:ascii="仿宋" w:hAnsi="仿宋" w:eastAsia="仿宋" w:cs="仿宋_GB2312"/>
          <w:sz w:val="32"/>
          <w:szCs w:val="32"/>
        </w:rPr>
        <w:t>。</w:t>
      </w:r>
    </w:p>
    <w:p>
      <w:pPr>
        <w:pBdr>
          <w:top w:val="single" w:color="FFFFFF" w:sz="4" w:space="0"/>
          <w:left w:val="single" w:color="FFFFFF" w:sz="4" w:space="0"/>
          <w:bottom w:val="single" w:color="FFFFFF" w:sz="4" w:space="30"/>
          <w:right w:val="single" w:color="FFFFFF" w:sz="4" w:space="15"/>
        </w:pBdr>
        <w:topLinePunct/>
        <w:adjustRightInd w:val="0"/>
        <w:snapToGrid w:val="0"/>
        <w:spacing w:line="600" w:lineRule="exact"/>
        <w:ind w:firstLine="520" w:firstLineChars="162"/>
        <w:jc w:val="both"/>
        <w:rPr>
          <w:rFonts w:ascii="仿宋" w:hAnsi="仿宋" w:eastAsia="仿宋" w:cs="Times New Roman"/>
          <w:b/>
          <w:sz w:val="32"/>
          <w:szCs w:val="32"/>
        </w:rPr>
      </w:pPr>
      <w:r>
        <w:rPr>
          <w:rFonts w:hint="eastAsia" w:ascii="仿宋" w:hAnsi="仿宋" w:eastAsia="仿宋" w:cs="Times New Roman"/>
          <w:b/>
          <w:sz w:val="32"/>
          <w:szCs w:val="32"/>
        </w:rPr>
        <w:t>4.</w:t>
      </w:r>
      <w:r>
        <w:rPr>
          <w:rFonts w:hint="eastAsia"/>
          <w:b/>
        </w:rPr>
        <w:t xml:space="preserve"> </w:t>
      </w:r>
      <w:r>
        <w:rPr>
          <w:rFonts w:hint="eastAsia" w:ascii="仿宋" w:hAnsi="仿宋" w:eastAsia="仿宋" w:cs="Times New Roman"/>
          <w:b/>
          <w:sz w:val="32"/>
          <w:szCs w:val="32"/>
        </w:rPr>
        <w:t>偏离绩效目标的原因及下一步改进措施</w:t>
      </w:r>
    </w:p>
    <w:p>
      <w:pPr>
        <w:pBdr>
          <w:top w:val="single" w:color="FFFFFF" w:sz="4" w:space="0"/>
          <w:left w:val="single" w:color="FFFFFF" w:sz="4" w:space="0"/>
          <w:bottom w:val="single" w:color="FFFFFF" w:sz="4" w:space="30"/>
          <w:right w:val="single" w:color="FFFFFF" w:sz="4" w:space="15"/>
        </w:pBdr>
        <w:topLinePunct/>
        <w:adjustRightInd w:val="0"/>
        <w:snapToGrid w:val="0"/>
        <w:spacing w:line="600" w:lineRule="exact"/>
        <w:ind w:firstLine="960" w:firstLineChars="300"/>
        <w:jc w:val="both"/>
        <w:rPr>
          <w:rFonts w:ascii="仿宋" w:hAnsi="仿宋" w:eastAsia="仿宋" w:cs="Times New Roman"/>
          <w:sz w:val="32"/>
          <w:szCs w:val="32"/>
        </w:rPr>
      </w:pPr>
      <w:r>
        <w:rPr>
          <w:rFonts w:hint="eastAsia" w:ascii="仿宋" w:hAnsi="仿宋" w:eastAsia="仿宋" w:cs="Times New Roman"/>
          <w:sz w:val="32"/>
          <w:szCs w:val="32"/>
        </w:rPr>
        <w:t>偏离原因：该项目由于受疫情反复影响，绩效目标中的培训班期数和组织文化交流团等工作任务未完成。因公务员津补贴规范</w:t>
      </w:r>
      <w:bookmarkStart w:id="6" w:name="_Hlk128602665"/>
      <w:r>
        <w:rPr>
          <w:rFonts w:hint="eastAsia" w:ascii="仿宋" w:hAnsi="仿宋" w:eastAsia="仿宋" w:cs="Times New Roman"/>
          <w:sz w:val="32"/>
          <w:szCs w:val="32"/>
        </w:rPr>
        <w:t>的相关规定要求</w:t>
      </w:r>
      <w:bookmarkEnd w:id="6"/>
      <w:r>
        <w:rPr>
          <w:rFonts w:hint="eastAsia" w:ascii="仿宋" w:hAnsi="仿宋" w:eastAsia="仿宋" w:cs="Times New Roman"/>
          <w:sz w:val="32"/>
          <w:szCs w:val="32"/>
        </w:rPr>
        <w:t>，创新工程项目未启动。</w:t>
      </w:r>
      <w:bookmarkStart w:id="7" w:name="_Hlk128602640"/>
      <w:r>
        <w:rPr>
          <w:rFonts w:hint="eastAsia" w:ascii="仿宋" w:hAnsi="仿宋" w:eastAsia="仿宋" w:cs="仿宋_GB2312"/>
          <w:sz w:val="32"/>
          <w:szCs w:val="32"/>
        </w:rPr>
        <w:t>因出版社原因，学术著作未出版。</w:t>
      </w:r>
    </w:p>
    <w:p>
      <w:pPr>
        <w:pBdr>
          <w:top w:val="single" w:color="FFFFFF" w:sz="4" w:space="0"/>
          <w:left w:val="single" w:color="FFFFFF" w:sz="4" w:space="0"/>
          <w:bottom w:val="single" w:color="FFFFFF" w:sz="4" w:space="30"/>
          <w:right w:val="single" w:color="FFFFFF" w:sz="4" w:space="15"/>
        </w:pBdr>
        <w:topLinePunct/>
        <w:adjustRightInd w:val="0"/>
        <w:snapToGrid w:val="0"/>
        <w:spacing w:line="600" w:lineRule="exact"/>
        <w:ind w:firstLine="960" w:firstLineChars="300"/>
        <w:jc w:val="both"/>
        <w:rPr>
          <w:rFonts w:ascii="仿宋" w:hAnsi="仿宋" w:eastAsia="仿宋" w:cs="Times New Roman"/>
          <w:sz w:val="32"/>
          <w:szCs w:val="32"/>
        </w:rPr>
      </w:pPr>
      <w:r>
        <w:rPr>
          <w:rFonts w:hint="eastAsia" w:ascii="仿宋" w:hAnsi="仿宋" w:eastAsia="仿宋" w:cs="Times New Roman"/>
          <w:sz w:val="32"/>
          <w:szCs w:val="32"/>
        </w:rPr>
        <w:t>改进措施：</w:t>
      </w:r>
      <w:bookmarkEnd w:id="7"/>
      <w:r>
        <w:rPr>
          <w:rFonts w:hint="eastAsia" w:ascii="仿宋" w:hAnsi="仿宋" w:eastAsia="仿宋" w:cs="Times New Roman"/>
          <w:sz w:val="32"/>
          <w:szCs w:val="32"/>
        </w:rPr>
        <w:t>根据疫情形势变化积极联系办班，组织开展文化交流活动。修订完善创新工程相关制度后积极推动项目。加强与出版社的沟通协调，</w:t>
      </w:r>
      <w:r>
        <w:rPr>
          <w:rFonts w:hint="eastAsia" w:ascii="仿宋" w:hAnsi="仿宋" w:eastAsia="仿宋"/>
          <w:sz w:val="32"/>
          <w:szCs w:val="32"/>
        </w:rPr>
        <w:t>及时衔接项目，</w:t>
      </w:r>
      <w:r>
        <w:rPr>
          <w:rFonts w:hint="eastAsia" w:ascii="仿宋" w:hAnsi="仿宋" w:eastAsia="仿宋" w:cs="Times New Roman"/>
          <w:sz w:val="32"/>
          <w:szCs w:val="32"/>
        </w:rPr>
        <w:t>争取及时出版</w:t>
      </w:r>
      <w:r>
        <w:rPr>
          <w:rFonts w:hint="eastAsia" w:ascii="仿宋" w:hAnsi="仿宋" w:eastAsia="仿宋" w:cs="仿宋_GB2312"/>
          <w:sz w:val="32"/>
          <w:szCs w:val="32"/>
        </w:rPr>
        <w:t>学术著作</w:t>
      </w:r>
      <w:r>
        <w:rPr>
          <w:rFonts w:hint="eastAsia" w:ascii="仿宋" w:hAnsi="仿宋" w:eastAsia="仿宋" w:cs="Times New Roman"/>
          <w:sz w:val="32"/>
          <w:szCs w:val="32"/>
        </w:rPr>
        <w:t>。</w:t>
      </w:r>
    </w:p>
    <w:p>
      <w:pPr>
        <w:topLinePunct/>
        <w:spacing w:line="276" w:lineRule="auto"/>
        <w:ind w:firstLine="640"/>
        <w:jc w:val="both"/>
        <w:rPr>
          <w:rFonts w:ascii="黑体" w:hAnsi="黑体" w:eastAsia="黑体"/>
          <w:sz w:val="32"/>
          <w:szCs w:val="32"/>
        </w:rPr>
      </w:pPr>
      <w:r>
        <w:rPr>
          <w:rFonts w:hint="eastAsia" w:ascii="黑体" w:hAnsi="黑体" w:eastAsia="黑体"/>
          <w:sz w:val="32"/>
          <w:szCs w:val="32"/>
        </w:rPr>
        <w:t>五、部门管理的省对市县转移支付绩效自评情况分析</w:t>
      </w:r>
    </w:p>
    <w:p>
      <w:pPr>
        <w:topLinePunct/>
        <w:spacing w:line="276" w:lineRule="auto"/>
        <w:ind w:firstLine="640"/>
        <w:jc w:val="both"/>
        <w:rPr>
          <w:rFonts w:ascii="仿宋" w:hAnsi="仿宋" w:eastAsia="仿宋"/>
          <w:sz w:val="32"/>
          <w:szCs w:val="32"/>
        </w:rPr>
      </w:pPr>
      <w:r>
        <w:rPr>
          <w:rFonts w:hint="eastAsia" w:ascii="仿宋" w:hAnsi="仿宋" w:eastAsia="仿宋"/>
          <w:sz w:val="32"/>
          <w:szCs w:val="32"/>
        </w:rPr>
        <w:t>2022年我院无省对市县转移支付绩效资金。</w:t>
      </w:r>
    </w:p>
    <w:p>
      <w:pPr>
        <w:topLinePunct/>
        <w:spacing w:line="276" w:lineRule="auto"/>
        <w:ind w:firstLine="640"/>
        <w:jc w:val="both"/>
        <w:rPr>
          <w:rFonts w:ascii="黑体" w:hAnsi="黑体" w:eastAsia="黑体"/>
          <w:sz w:val="32"/>
          <w:szCs w:val="32"/>
        </w:rPr>
      </w:pPr>
      <w:r>
        <w:rPr>
          <w:rFonts w:hint="eastAsia" w:ascii="黑体" w:hAnsi="黑体" w:eastAsia="黑体"/>
          <w:sz w:val="32"/>
          <w:szCs w:val="32"/>
        </w:rPr>
        <w:t>六、绩效自评结果拟应用和公开情况</w:t>
      </w:r>
    </w:p>
    <w:p>
      <w:pPr>
        <w:topLinePunct/>
        <w:spacing w:line="276" w:lineRule="auto"/>
        <w:ind w:firstLine="585" w:firstLineChars="183"/>
        <w:jc w:val="both"/>
        <w:rPr>
          <w:rFonts w:ascii="仿宋" w:hAnsi="仿宋" w:eastAsia="仿宋"/>
          <w:sz w:val="32"/>
          <w:szCs w:val="32"/>
        </w:rPr>
      </w:pPr>
      <w:r>
        <w:rPr>
          <w:rFonts w:hint="eastAsia" w:ascii="仿宋" w:hAnsi="仿宋" w:eastAsia="仿宋"/>
          <w:sz w:val="32"/>
          <w:szCs w:val="32"/>
        </w:rPr>
        <w:t>我院将对项目绩效自评情况及时整理、归纳、分析，将自评结果作为学院完善政策和改进管理的重要依据，也作为项目经费预算管理工作的重要依据，全面提升学院部门预算绩效管理水平。学院将自评结果和部门决算按财政要求，依程序向社会公开，接受群众监督</w:t>
      </w:r>
      <w:r>
        <w:rPr>
          <w:rFonts w:ascii="仿宋" w:hAnsi="仿宋" w:eastAsia="仿宋"/>
          <w:sz w:val="32"/>
          <w:szCs w:val="32"/>
        </w:rPr>
        <w:t>，从而促进问题改进，更加科学合理的设定今后的工作目标，提高服务管理水平，更好地做好各项工作</w:t>
      </w:r>
      <w:r>
        <w:rPr>
          <w:rFonts w:hint="eastAsia" w:ascii="仿宋" w:hAnsi="仿宋" w:eastAsia="仿宋"/>
          <w:sz w:val="32"/>
          <w:szCs w:val="32"/>
        </w:rPr>
        <w:t>。</w:t>
      </w:r>
    </w:p>
    <w:p>
      <w:pPr>
        <w:topLinePunct/>
        <w:spacing w:line="276" w:lineRule="auto"/>
        <w:ind w:firstLine="643"/>
        <w:jc w:val="both"/>
        <w:rPr>
          <w:rFonts w:ascii="黑体" w:hAnsi="黑体" w:eastAsia="黑体"/>
          <w:b/>
          <w:sz w:val="32"/>
          <w:szCs w:val="32"/>
        </w:rPr>
      </w:pPr>
      <w:r>
        <w:rPr>
          <w:rFonts w:hint="eastAsia" w:ascii="黑体" w:hAnsi="黑体" w:eastAsia="黑体"/>
          <w:b/>
          <w:sz w:val="32"/>
          <w:szCs w:val="32"/>
        </w:rPr>
        <w:t>七、其他需要说明的问题</w:t>
      </w:r>
    </w:p>
    <w:p>
      <w:pPr>
        <w:topLinePunct/>
        <w:spacing w:line="276" w:lineRule="auto"/>
        <w:ind w:firstLine="640"/>
        <w:jc w:val="both"/>
        <w:rPr>
          <w:rFonts w:ascii="仿宋" w:hAnsi="仿宋" w:eastAsia="仿宋"/>
          <w:sz w:val="32"/>
          <w:szCs w:val="32"/>
        </w:rPr>
      </w:pPr>
      <w:r>
        <w:rPr>
          <w:rFonts w:hint="eastAsia" w:ascii="仿宋" w:hAnsi="仿宋" w:eastAsia="仿宋"/>
          <w:sz w:val="32"/>
          <w:szCs w:val="32"/>
        </w:rPr>
        <w:t>甘肃社会主义学院绩效</w:t>
      </w:r>
      <w:r>
        <w:rPr>
          <w:rFonts w:ascii="仿宋" w:hAnsi="仿宋" w:eastAsia="仿宋"/>
          <w:sz w:val="32"/>
          <w:szCs w:val="32"/>
        </w:rPr>
        <w:t>评价内容</w:t>
      </w:r>
      <w:r>
        <w:rPr>
          <w:rFonts w:hint="eastAsia" w:ascii="仿宋" w:hAnsi="仿宋" w:eastAsia="仿宋"/>
          <w:sz w:val="32"/>
          <w:szCs w:val="32"/>
        </w:rPr>
        <w:t>未在中央和省委巡视、各级审计和财政监督中发现问题</w:t>
      </w:r>
      <w:r>
        <w:rPr>
          <w:rFonts w:ascii="仿宋" w:hAnsi="仿宋" w:eastAsia="仿宋"/>
          <w:sz w:val="32"/>
          <w:szCs w:val="32"/>
        </w:rPr>
        <w:t>，无其他需要说明的问题</w:t>
      </w:r>
      <w:r>
        <w:rPr>
          <w:rFonts w:hint="eastAsia" w:ascii="仿宋" w:hAnsi="仿宋" w:eastAsia="仿宋"/>
          <w:sz w:val="32"/>
          <w:szCs w:val="32"/>
        </w:rPr>
        <w:t>。</w:t>
      </w:r>
    </w:p>
    <w:p>
      <w:pPr>
        <w:topLinePunct/>
        <w:spacing w:line="276" w:lineRule="auto"/>
        <w:ind w:firstLine="640"/>
        <w:jc w:val="both"/>
        <w:rPr>
          <w:rFonts w:ascii="仿宋" w:hAnsi="仿宋" w:eastAsia="仿宋"/>
          <w:sz w:val="32"/>
          <w:szCs w:val="32"/>
        </w:rPr>
      </w:pPr>
    </w:p>
    <w:p>
      <w:pPr>
        <w:topLinePunct/>
        <w:spacing w:line="276" w:lineRule="auto"/>
        <w:ind w:firstLine="4640" w:firstLineChars="1450"/>
        <w:jc w:val="both"/>
        <w:rPr>
          <w:rFonts w:ascii="仿宋" w:hAnsi="仿宋" w:eastAsia="仿宋"/>
          <w:sz w:val="32"/>
          <w:szCs w:val="32"/>
        </w:rPr>
      </w:pPr>
    </w:p>
    <w:p>
      <w:pPr>
        <w:topLinePunct/>
        <w:spacing w:line="276" w:lineRule="auto"/>
        <w:ind w:firstLine="4640" w:firstLineChars="1450"/>
        <w:jc w:val="both"/>
        <w:rPr>
          <w:rFonts w:ascii="仿宋" w:hAnsi="仿宋" w:eastAsia="仿宋"/>
          <w:sz w:val="32"/>
          <w:szCs w:val="32"/>
        </w:rPr>
      </w:pPr>
      <w:r>
        <w:rPr>
          <w:rFonts w:ascii="仿宋" w:hAnsi="仿宋" w:eastAsia="仿宋"/>
          <w:sz w:val="32"/>
          <w:szCs w:val="32"/>
        </w:rPr>
        <w:t>甘肃社会主义学院</w:t>
      </w:r>
    </w:p>
    <w:p>
      <w:pPr>
        <w:tabs>
          <w:tab w:val="left" w:pos="5250"/>
        </w:tabs>
        <w:topLinePunct/>
        <w:ind w:firstLine="4832" w:firstLineChars="1510"/>
        <w:jc w:val="both"/>
        <w:rPr>
          <w:rFonts w:ascii="仿宋" w:hAnsi="仿宋" w:eastAsia="仿宋"/>
          <w:sz w:val="32"/>
          <w:szCs w:val="32"/>
        </w:rPr>
      </w:pPr>
      <w:r>
        <w:rPr>
          <w:rFonts w:hint="eastAsia" w:ascii="仿宋" w:hAnsi="仿宋" w:eastAsia="仿宋"/>
          <w:sz w:val="32"/>
          <w:szCs w:val="32"/>
        </w:rPr>
        <w:t>202</w:t>
      </w:r>
      <w:r>
        <w:rPr>
          <w:rFonts w:ascii="仿宋" w:hAnsi="仿宋" w:eastAsia="仿宋"/>
          <w:sz w:val="32"/>
          <w:szCs w:val="32"/>
        </w:rPr>
        <w:t>3</w:t>
      </w:r>
      <w:r>
        <w:rPr>
          <w:rFonts w:hint="eastAsia" w:ascii="仿宋" w:hAnsi="仿宋" w:eastAsia="仿宋"/>
          <w:sz w:val="32"/>
          <w:szCs w:val="32"/>
        </w:rPr>
        <w:t>年4月12日</w:t>
      </w:r>
    </w:p>
    <w:sectPr>
      <w:footerReference r:id="rId7" w:type="first"/>
      <w:footerReference r:id="rId5" w:type="default"/>
      <w:footerReference r:id="rId6" w:type="even"/>
      <w:pgSz w:w="16838" w:h="11906" w:orient="landscape"/>
      <w:pgMar w:top="1797" w:right="1440" w:bottom="1797"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8"/>
          <w:ind w:firstLine="360"/>
          <w:jc w:val="center"/>
        </w:pPr>
        <w:r>
          <w:fldChar w:fldCharType="begin"/>
        </w:r>
        <w:r>
          <w:instrText xml:space="preserve">PAGE   \* MERGEFORMAT</w:instrText>
        </w:r>
        <w:r>
          <w:fldChar w:fldCharType="separate"/>
        </w:r>
        <w:r>
          <w:rPr>
            <w:lang w:val="zh-CN"/>
          </w:rPr>
          <w:t>16</w:t>
        </w:r>
        <w:r>
          <w:rPr>
            <w:lang w:val="zh-CN"/>
          </w:rPr>
          <w:fldChar w:fldCharType="end"/>
        </w:r>
      </w:p>
    </w:sdtContent>
  </w:sdt>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78B6E1"/>
    <w:multiLevelType w:val="singleLevel"/>
    <w:tmpl w:val="4878B6E1"/>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E4ODhkN2Q3NTU2OWE3MmViN2UwNjBiNWM3Y2U5ZmEifQ=="/>
  </w:docVars>
  <w:rsids>
    <w:rsidRoot w:val="00B00642"/>
    <w:rsid w:val="00000858"/>
    <w:rsid w:val="00001212"/>
    <w:rsid w:val="000053EC"/>
    <w:rsid w:val="000079B2"/>
    <w:rsid w:val="00012410"/>
    <w:rsid w:val="000132FA"/>
    <w:rsid w:val="00013D89"/>
    <w:rsid w:val="00015856"/>
    <w:rsid w:val="00015E74"/>
    <w:rsid w:val="0001681B"/>
    <w:rsid w:val="00020EF5"/>
    <w:rsid w:val="000238AE"/>
    <w:rsid w:val="0002426F"/>
    <w:rsid w:val="00024CDB"/>
    <w:rsid w:val="00026D14"/>
    <w:rsid w:val="00031136"/>
    <w:rsid w:val="000344F1"/>
    <w:rsid w:val="00034BF9"/>
    <w:rsid w:val="00034CD3"/>
    <w:rsid w:val="000350FA"/>
    <w:rsid w:val="0003512C"/>
    <w:rsid w:val="000352B9"/>
    <w:rsid w:val="000354FF"/>
    <w:rsid w:val="000377B0"/>
    <w:rsid w:val="00037ADA"/>
    <w:rsid w:val="000473B9"/>
    <w:rsid w:val="00047ADB"/>
    <w:rsid w:val="00050BFB"/>
    <w:rsid w:val="00052E97"/>
    <w:rsid w:val="000607BD"/>
    <w:rsid w:val="0006383D"/>
    <w:rsid w:val="00064630"/>
    <w:rsid w:val="000647B6"/>
    <w:rsid w:val="000654E2"/>
    <w:rsid w:val="00065A3A"/>
    <w:rsid w:val="0007025C"/>
    <w:rsid w:val="00070AC7"/>
    <w:rsid w:val="00072403"/>
    <w:rsid w:val="000729B9"/>
    <w:rsid w:val="0007357C"/>
    <w:rsid w:val="00073886"/>
    <w:rsid w:val="000740F9"/>
    <w:rsid w:val="00077108"/>
    <w:rsid w:val="00077F55"/>
    <w:rsid w:val="00081869"/>
    <w:rsid w:val="00082473"/>
    <w:rsid w:val="000835E2"/>
    <w:rsid w:val="0008436A"/>
    <w:rsid w:val="00085A46"/>
    <w:rsid w:val="0008789F"/>
    <w:rsid w:val="00092C30"/>
    <w:rsid w:val="00093D5A"/>
    <w:rsid w:val="000944DD"/>
    <w:rsid w:val="000948A9"/>
    <w:rsid w:val="00094ACD"/>
    <w:rsid w:val="00096952"/>
    <w:rsid w:val="000A3953"/>
    <w:rsid w:val="000B1836"/>
    <w:rsid w:val="000B2DEA"/>
    <w:rsid w:val="000B430E"/>
    <w:rsid w:val="000B4767"/>
    <w:rsid w:val="000B569B"/>
    <w:rsid w:val="000B5DA6"/>
    <w:rsid w:val="000C1D9D"/>
    <w:rsid w:val="000C219A"/>
    <w:rsid w:val="000C26AF"/>
    <w:rsid w:val="000C4017"/>
    <w:rsid w:val="000C6669"/>
    <w:rsid w:val="000D3B5A"/>
    <w:rsid w:val="000D56BB"/>
    <w:rsid w:val="000D63B4"/>
    <w:rsid w:val="000D6D06"/>
    <w:rsid w:val="000E3797"/>
    <w:rsid w:val="000E5627"/>
    <w:rsid w:val="000E614C"/>
    <w:rsid w:val="000E69BD"/>
    <w:rsid w:val="000E7790"/>
    <w:rsid w:val="000E7FC9"/>
    <w:rsid w:val="000F1BF1"/>
    <w:rsid w:val="000F44B7"/>
    <w:rsid w:val="000F785F"/>
    <w:rsid w:val="00101535"/>
    <w:rsid w:val="0010312E"/>
    <w:rsid w:val="00104C08"/>
    <w:rsid w:val="00106C49"/>
    <w:rsid w:val="00115ADA"/>
    <w:rsid w:val="00115D11"/>
    <w:rsid w:val="00116A2A"/>
    <w:rsid w:val="001174C9"/>
    <w:rsid w:val="00122DD5"/>
    <w:rsid w:val="00127734"/>
    <w:rsid w:val="001301D1"/>
    <w:rsid w:val="00131879"/>
    <w:rsid w:val="00132A2E"/>
    <w:rsid w:val="0013346F"/>
    <w:rsid w:val="00134208"/>
    <w:rsid w:val="001366DC"/>
    <w:rsid w:val="00140F0C"/>
    <w:rsid w:val="0014167D"/>
    <w:rsid w:val="0014700D"/>
    <w:rsid w:val="0015023D"/>
    <w:rsid w:val="00150C28"/>
    <w:rsid w:val="00151A10"/>
    <w:rsid w:val="001520B1"/>
    <w:rsid w:val="00152C5E"/>
    <w:rsid w:val="00153120"/>
    <w:rsid w:val="00153578"/>
    <w:rsid w:val="00153CD1"/>
    <w:rsid w:val="00154E15"/>
    <w:rsid w:val="00154FB2"/>
    <w:rsid w:val="00155DF8"/>
    <w:rsid w:val="00156FF7"/>
    <w:rsid w:val="001574D0"/>
    <w:rsid w:val="00157735"/>
    <w:rsid w:val="00157919"/>
    <w:rsid w:val="00157AE5"/>
    <w:rsid w:val="00157AF5"/>
    <w:rsid w:val="0016414A"/>
    <w:rsid w:val="00165118"/>
    <w:rsid w:val="00165876"/>
    <w:rsid w:val="00166EA9"/>
    <w:rsid w:val="00167C15"/>
    <w:rsid w:val="001706F9"/>
    <w:rsid w:val="00170EB5"/>
    <w:rsid w:val="001716A6"/>
    <w:rsid w:val="0017660F"/>
    <w:rsid w:val="00176786"/>
    <w:rsid w:val="00184FA4"/>
    <w:rsid w:val="00192CB3"/>
    <w:rsid w:val="001939C1"/>
    <w:rsid w:val="00195F0B"/>
    <w:rsid w:val="00196A3F"/>
    <w:rsid w:val="001A05FF"/>
    <w:rsid w:val="001A0C81"/>
    <w:rsid w:val="001A1598"/>
    <w:rsid w:val="001A220D"/>
    <w:rsid w:val="001A490E"/>
    <w:rsid w:val="001A5B1F"/>
    <w:rsid w:val="001A6E54"/>
    <w:rsid w:val="001B212F"/>
    <w:rsid w:val="001B3E5E"/>
    <w:rsid w:val="001B499B"/>
    <w:rsid w:val="001B7750"/>
    <w:rsid w:val="001B7B3F"/>
    <w:rsid w:val="001C0760"/>
    <w:rsid w:val="001C099D"/>
    <w:rsid w:val="001C2E79"/>
    <w:rsid w:val="001C4E2E"/>
    <w:rsid w:val="001C5307"/>
    <w:rsid w:val="001C5665"/>
    <w:rsid w:val="001C62FB"/>
    <w:rsid w:val="001C6E37"/>
    <w:rsid w:val="001C7F65"/>
    <w:rsid w:val="001D0F17"/>
    <w:rsid w:val="001D34AC"/>
    <w:rsid w:val="001D724C"/>
    <w:rsid w:val="001E0620"/>
    <w:rsid w:val="001E6851"/>
    <w:rsid w:val="001E76DC"/>
    <w:rsid w:val="001E7D87"/>
    <w:rsid w:val="001F3FB6"/>
    <w:rsid w:val="001F4489"/>
    <w:rsid w:val="001F51B0"/>
    <w:rsid w:val="001F5618"/>
    <w:rsid w:val="001F5AB9"/>
    <w:rsid w:val="001F5EC7"/>
    <w:rsid w:val="001F77EC"/>
    <w:rsid w:val="0020009E"/>
    <w:rsid w:val="002001B1"/>
    <w:rsid w:val="00201F5A"/>
    <w:rsid w:val="00201F9E"/>
    <w:rsid w:val="00202C48"/>
    <w:rsid w:val="00204152"/>
    <w:rsid w:val="0020472A"/>
    <w:rsid w:val="002052D7"/>
    <w:rsid w:val="0020693D"/>
    <w:rsid w:val="00206D63"/>
    <w:rsid w:val="00207E14"/>
    <w:rsid w:val="002105DB"/>
    <w:rsid w:val="00212C41"/>
    <w:rsid w:val="00213763"/>
    <w:rsid w:val="0021454B"/>
    <w:rsid w:val="00214851"/>
    <w:rsid w:val="00217762"/>
    <w:rsid w:val="00226438"/>
    <w:rsid w:val="00226A55"/>
    <w:rsid w:val="0022752E"/>
    <w:rsid w:val="00230796"/>
    <w:rsid w:val="00232694"/>
    <w:rsid w:val="00232A96"/>
    <w:rsid w:val="00233EEC"/>
    <w:rsid w:val="002347BD"/>
    <w:rsid w:val="00235D6B"/>
    <w:rsid w:val="0023686D"/>
    <w:rsid w:val="00236D4C"/>
    <w:rsid w:val="002375D0"/>
    <w:rsid w:val="002408A3"/>
    <w:rsid w:val="00250913"/>
    <w:rsid w:val="002516D6"/>
    <w:rsid w:val="00253642"/>
    <w:rsid w:val="002541B0"/>
    <w:rsid w:val="00257844"/>
    <w:rsid w:val="00257BFB"/>
    <w:rsid w:val="002612BF"/>
    <w:rsid w:val="002627DB"/>
    <w:rsid w:val="00264744"/>
    <w:rsid w:val="0026624B"/>
    <w:rsid w:val="002675D1"/>
    <w:rsid w:val="0027037E"/>
    <w:rsid w:val="00270D33"/>
    <w:rsid w:val="002719B9"/>
    <w:rsid w:val="002731D3"/>
    <w:rsid w:val="00274202"/>
    <w:rsid w:val="00276C9B"/>
    <w:rsid w:val="00277834"/>
    <w:rsid w:val="00281B1A"/>
    <w:rsid w:val="00283221"/>
    <w:rsid w:val="00285115"/>
    <w:rsid w:val="00285141"/>
    <w:rsid w:val="00287CC4"/>
    <w:rsid w:val="002939D2"/>
    <w:rsid w:val="002951CE"/>
    <w:rsid w:val="00296914"/>
    <w:rsid w:val="00296AC5"/>
    <w:rsid w:val="002977FE"/>
    <w:rsid w:val="00297A62"/>
    <w:rsid w:val="002A34DB"/>
    <w:rsid w:val="002A3A01"/>
    <w:rsid w:val="002A5BFF"/>
    <w:rsid w:val="002A62F2"/>
    <w:rsid w:val="002A7AA5"/>
    <w:rsid w:val="002B1B87"/>
    <w:rsid w:val="002B2591"/>
    <w:rsid w:val="002B39CE"/>
    <w:rsid w:val="002B5BC9"/>
    <w:rsid w:val="002B612B"/>
    <w:rsid w:val="002B7BD3"/>
    <w:rsid w:val="002C38E9"/>
    <w:rsid w:val="002C6C4A"/>
    <w:rsid w:val="002D067D"/>
    <w:rsid w:val="002D0B4F"/>
    <w:rsid w:val="002D26BE"/>
    <w:rsid w:val="002D4450"/>
    <w:rsid w:val="002D78BA"/>
    <w:rsid w:val="002D7F47"/>
    <w:rsid w:val="002E02EA"/>
    <w:rsid w:val="002E0380"/>
    <w:rsid w:val="002E0DB1"/>
    <w:rsid w:val="002E5B5C"/>
    <w:rsid w:val="002E6CF5"/>
    <w:rsid w:val="002E7F35"/>
    <w:rsid w:val="002F4ABD"/>
    <w:rsid w:val="002F60B1"/>
    <w:rsid w:val="00300C56"/>
    <w:rsid w:val="00300EF5"/>
    <w:rsid w:val="0030304A"/>
    <w:rsid w:val="00303F0C"/>
    <w:rsid w:val="003046BC"/>
    <w:rsid w:val="00305EEB"/>
    <w:rsid w:val="00306453"/>
    <w:rsid w:val="00307EBD"/>
    <w:rsid w:val="00311DF3"/>
    <w:rsid w:val="0031474C"/>
    <w:rsid w:val="0031488E"/>
    <w:rsid w:val="0032143E"/>
    <w:rsid w:val="00321755"/>
    <w:rsid w:val="00321A1E"/>
    <w:rsid w:val="00324A8C"/>
    <w:rsid w:val="003265B4"/>
    <w:rsid w:val="00327977"/>
    <w:rsid w:val="003320E6"/>
    <w:rsid w:val="00333E8E"/>
    <w:rsid w:val="00333F6A"/>
    <w:rsid w:val="00334F44"/>
    <w:rsid w:val="003350F5"/>
    <w:rsid w:val="00336B11"/>
    <w:rsid w:val="00342B8E"/>
    <w:rsid w:val="003473B5"/>
    <w:rsid w:val="003529B9"/>
    <w:rsid w:val="00353D8F"/>
    <w:rsid w:val="0035584C"/>
    <w:rsid w:val="003651F1"/>
    <w:rsid w:val="003659E9"/>
    <w:rsid w:val="0036685B"/>
    <w:rsid w:val="00367067"/>
    <w:rsid w:val="003733A1"/>
    <w:rsid w:val="00377960"/>
    <w:rsid w:val="0038168E"/>
    <w:rsid w:val="00382142"/>
    <w:rsid w:val="003831F6"/>
    <w:rsid w:val="003849D3"/>
    <w:rsid w:val="00390115"/>
    <w:rsid w:val="00390BDA"/>
    <w:rsid w:val="0039104B"/>
    <w:rsid w:val="00391219"/>
    <w:rsid w:val="00391BFC"/>
    <w:rsid w:val="00393533"/>
    <w:rsid w:val="0039693C"/>
    <w:rsid w:val="003A355D"/>
    <w:rsid w:val="003A4F3E"/>
    <w:rsid w:val="003A5221"/>
    <w:rsid w:val="003A5522"/>
    <w:rsid w:val="003A5787"/>
    <w:rsid w:val="003A637D"/>
    <w:rsid w:val="003B0DD6"/>
    <w:rsid w:val="003B197F"/>
    <w:rsid w:val="003B2350"/>
    <w:rsid w:val="003B5808"/>
    <w:rsid w:val="003B62BC"/>
    <w:rsid w:val="003B794D"/>
    <w:rsid w:val="003C0960"/>
    <w:rsid w:val="003C178D"/>
    <w:rsid w:val="003C3637"/>
    <w:rsid w:val="003C4617"/>
    <w:rsid w:val="003C65C6"/>
    <w:rsid w:val="003C79FF"/>
    <w:rsid w:val="003D370C"/>
    <w:rsid w:val="003D41D0"/>
    <w:rsid w:val="003D5B85"/>
    <w:rsid w:val="003D7373"/>
    <w:rsid w:val="003D793E"/>
    <w:rsid w:val="003E028F"/>
    <w:rsid w:val="003E09CD"/>
    <w:rsid w:val="003E10FD"/>
    <w:rsid w:val="003E559F"/>
    <w:rsid w:val="003E622E"/>
    <w:rsid w:val="003E7508"/>
    <w:rsid w:val="003E78F7"/>
    <w:rsid w:val="003F2B18"/>
    <w:rsid w:val="003F4856"/>
    <w:rsid w:val="003F691A"/>
    <w:rsid w:val="003F72EF"/>
    <w:rsid w:val="004006F9"/>
    <w:rsid w:val="00401869"/>
    <w:rsid w:val="00402232"/>
    <w:rsid w:val="00402C76"/>
    <w:rsid w:val="00402D6C"/>
    <w:rsid w:val="00402FA3"/>
    <w:rsid w:val="00403045"/>
    <w:rsid w:val="004030DF"/>
    <w:rsid w:val="00404F1E"/>
    <w:rsid w:val="00404F80"/>
    <w:rsid w:val="0040710F"/>
    <w:rsid w:val="00407B78"/>
    <w:rsid w:val="00407E0C"/>
    <w:rsid w:val="004117CD"/>
    <w:rsid w:val="004161DB"/>
    <w:rsid w:val="00421569"/>
    <w:rsid w:val="00421871"/>
    <w:rsid w:val="00422031"/>
    <w:rsid w:val="00422AA4"/>
    <w:rsid w:val="0042523E"/>
    <w:rsid w:val="0043117D"/>
    <w:rsid w:val="0043155F"/>
    <w:rsid w:val="00432600"/>
    <w:rsid w:val="004327D2"/>
    <w:rsid w:val="004372DF"/>
    <w:rsid w:val="004422C5"/>
    <w:rsid w:val="0044266C"/>
    <w:rsid w:val="004427CF"/>
    <w:rsid w:val="00442C5C"/>
    <w:rsid w:val="004439EB"/>
    <w:rsid w:val="00443A7D"/>
    <w:rsid w:val="00445FE6"/>
    <w:rsid w:val="004511B1"/>
    <w:rsid w:val="00451B55"/>
    <w:rsid w:val="00452B89"/>
    <w:rsid w:val="00452D74"/>
    <w:rsid w:val="00452EEB"/>
    <w:rsid w:val="00453187"/>
    <w:rsid w:val="0045491B"/>
    <w:rsid w:val="004558A5"/>
    <w:rsid w:val="0045620D"/>
    <w:rsid w:val="0045672F"/>
    <w:rsid w:val="00457386"/>
    <w:rsid w:val="00462F1F"/>
    <w:rsid w:val="00464DBA"/>
    <w:rsid w:val="00467AD5"/>
    <w:rsid w:val="00467D4C"/>
    <w:rsid w:val="00470B20"/>
    <w:rsid w:val="00471692"/>
    <w:rsid w:val="004747AE"/>
    <w:rsid w:val="00475EC1"/>
    <w:rsid w:val="004763A6"/>
    <w:rsid w:val="004764DB"/>
    <w:rsid w:val="004767B8"/>
    <w:rsid w:val="00476B36"/>
    <w:rsid w:val="00477768"/>
    <w:rsid w:val="0048145F"/>
    <w:rsid w:val="00481477"/>
    <w:rsid w:val="00481931"/>
    <w:rsid w:val="004838EC"/>
    <w:rsid w:val="00485052"/>
    <w:rsid w:val="0048522D"/>
    <w:rsid w:val="00491927"/>
    <w:rsid w:val="00491FF3"/>
    <w:rsid w:val="004920F2"/>
    <w:rsid w:val="00492172"/>
    <w:rsid w:val="00493183"/>
    <w:rsid w:val="00495C62"/>
    <w:rsid w:val="00495D9A"/>
    <w:rsid w:val="004A37C2"/>
    <w:rsid w:val="004A39C1"/>
    <w:rsid w:val="004A79C6"/>
    <w:rsid w:val="004B0EBB"/>
    <w:rsid w:val="004B12C6"/>
    <w:rsid w:val="004B12CC"/>
    <w:rsid w:val="004B1368"/>
    <w:rsid w:val="004B16C2"/>
    <w:rsid w:val="004B21FD"/>
    <w:rsid w:val="004B5C1F"/>
    <w:rsid w:val="004B5DFE"/>
    <w:rsid w:val="004B5F28"/>
    <w:rsid w:val="004B607D"/>
    <w:rsid w:val="004B62BA"/>
    <w:rsid w:val="004B75E1"/>
    <w:rsid w:val="004B785D"/>
    <w:rsid w:val="004B7915"/>
    <w:rsid w:val="004C3468"/>
    <w:rsid w:val="004C5C69"/>
    <w:rsid w:val="004C709A"/>
    <w:rsid w:val="004D0F24"/>
    <w:rsid w:val="004D141F"/>
    <w:rsid w:val="004D354D"/>
    <w:rsid w:val="004D5A94"/>
    <w:rsid w:val="004D7C32"/>
    <w:rsid w:val="004E00A5"/>
    <w:rsid w:val="004E085E"/>
    <w:rsid w:val="004E0D8A"/>
    <w:rsid w:val="004E45D8"/>
    <w:rsid w:val="004E565B"/>
    <w:rsid w:val="004E63FC"/>
    <w:rsid w:val="004E64A2"/>
    <w:rsid w:val="004F0EAF"/>
    <w:rsid w:val="004F49D6"/>
    <w:rsid w:val="004F4D69"/>
    <w:rsid w:val="004F641F"/>
    <w:rsid w:val="004F7495"/>
    <w:rsid w:val="0050539C"/>
    <w:rsid w:val="0050576E"/>
    <w:rsid w:val="00506346"/>
    <w:rsid w:val="005074D9"/>
    <w:rsid w:val="00513ADD"/>
    <w:rsid w:val="0051484C"/>
    <w:rsid w:val="00515908"/>
    <w:rsid w:val="00516E92"/>
    <w:rsid w:val="0052129F"/>
    <w:rsid w:val="005238D0"/>
    <w:rsid w:val="005251BA"/>
    <w:rsid w:val="005271DA"/>
    <w:rsid w:val="005319C5"/>
    <w:rsid w:val="0053476F"/>
    <w:rsid w:val="00534E55"/>
    <w:rsid w:val="00535ACA"/>
    <w:rsid w:val="005368B8"/>
    <w:rsid w:val="005373BE"/>
    <w:rsid w:val="005405C1"/>
    <w:rsid w:val="00544CB7"/>
    <w:rsid w:val="0054562E"/>
    <w:rsid w:val="005472E6"/>
    <w:rsid w:val="005513CA"/>
    <w:rsid w:val="00552C66"/>
    <w:rsid w:val="0055487A"/>
    <w:rsid w:val="00556DEB"/>
    <w:rsid w:val="00560066"/>
    <w:rsid w:val="00562ACE"/>
    <w:rsid w:val="00563586"/>
    <w:rsid w:val="00563A96"/>
    <w:rsid w:val="00565AD3"/>
    <w:rsid w:val="00570B6A"/>
    <w:rsid w:val="005733E2"/>
    <w:rsid w:val="00573D90"/>
    <w:rsid w:val="00573EBA"/>
    <w:rsid w:val="00575EB2"/>
    <w:rsid w:val="00577638"/>
    <w:rsid w:val="005806B6"/>
    <w:rsid w:val="0058099E"/>
    <w:rsid w:val="0058347F"/>
    <w:rsid w:val="00584CD4"/>
    <w:rsid w:val="00586F7B"/>
    <w:rsid w:val="00586FD9"/>
    <w:rsid w:val="00587FDF"/>
    <w:rsid w:val="00593880"/>
    <w:rsid w:val="00595A0F"/>
    <w:rsid w:val="005A1D97"/>
    <w:rsid w:val="005A1EDC"/>
    <w:rsid w:val="005A5C8D"/>
    <w:rsid w:val="005A78A1"/>
    <w:rsid w:val="005B0586"/>
    <w:rsid w:val="005B0BEF"/>
    <w:rsid w:val="005B4BBC"/>
    <w:rsid w:val="005B7556"/>
    <w:rsid w:val="005C0FDD"/>
    <w:rsid w:val="005C1523"/>
    <w:rsid w:val="005C32BB"/>
    <w:rsid w:val="005C3AE0"/>
    <w:rsid w:val="005C4F04"/>
    <w:rsid w:val="005D1422"/>
    <w:rsid w:val="005D1F2F"/>
    <w:rsid w:val="005D21E5"/>
    <w:rsid w:val="005D283F"/>
    <w:rsid w:val="005D3C24"/>
    <w:rsid w:val="005D404E"/>
    <w:rsid w:val="005D423D"/>
    <w:rsid w:val="005D48B1"/>
    <w:rsid w:val="005D5EA7"/>
    <w:rsid w:val="005D685E"/>
    <w:rsid w:val="005D72BB"/>
    <w:rsid w:val="005D749A"/>
    <w:rsid w:val="005D7A9C"/>
    <w:rsid w:val="005D7CD3"/>
    <w:rsid w:val="005E0F28"/>
    <w:rsid w:val="005E11E8"/>
    <w:rsid w:val="005E3DBA"/>
    <w:rsid w:val="005E4556"/>
    <w:rsid w:val="005E53F3"/>
    <w:rsid w:val="005F0A23"/>
    <w:rsid w:val="005F0E1C"/>
    <w:rsid w:val="005F20FF"/>
    <w:rsid w:val="005F31F0"/>
    <w:rsid w:val="005F41A2"/>
    <w:rsid w:val="005F48B3"/>
    <w:rsid w:val="005F54B7"/>
    <w:rsid w:val="005F6A1F"/>
    <w:rsid w:val="005F6E40"/>
    <w:rsid w:val="005F6FB0"/>
    <w:rsid w:val="005F75CE"/>
    <w:rsid w:val="00602491"/>
    <w:rsid w:val="00610645"/>
    <w:rsid w:val="00612A5B"/>
    <w:rsid w:val="00612C6A"/>
    <w:rsid w:val="006131A2"/>
    <w:rsid w:val="00614816"/>
    <w:rsid w:val="006170FE"/>
    <w:rsid w:val="00620060"/>
    <w:rsid w:val="00621162"/>
    <w:rsid w:val="00621665"/>
    <w:rsid w:val="00624328"/>
    <w:rsid w:val="006272E0"/>
    <w:rsid w:val="00632BE2"/>
    <w:rsid w:val="00632EC8"/>
    <w:rsid w:val="0063332E"/>
    <w:rsid w:val="00635028"/>
    <w:rsid w:val="006368E9"/>
    <w:rsid w:val="0064162D"/>
    <w:rsid w:val="00642202"/>
    <w:rsid w:val="00644AF1"/>
    <w:rsid w:val="006451C4"/>
    <w:rsid w:val="0064566D"/>
    <w:rsid w:val="0064777F"/>
    <w:rsid w:val="00647CEB"/>
    <w:rsid w:val="0065276E"/>
    <w:rsid w:val="006543A7"/>
    <w:rsid w:val="006559CD"/>
    <w:rsid w:val="006572E4"/>
    <w:rsid w:val="006600CD"/>
    <w:rsid w:val="006621AC"/>
    <w:rsid w:val="00662A7D"/>
    <w:rsid w:val="00662FE6"/>
    <w:rsid w:val="00663761"/>
    <w:rsid w:val="00664C28"/>
    <w:rsid w:val="00665183"/>
    <w:rsid w:val="006651D9"/>
    <w:rsid w:val="0066588C"/>
    <w:rsid w:val="00667D68"/>
    <w:rsid w:val="00670446"/>
    <w:rsid w:val="00670753"/>
    <w:rsid w:val="00670CB3"/>
    <w:rsid w:val="00671598"/>
    <w:rsid w:val="006716E6"/>
    <w:rsid w:val="00671B43"/>
    <w:rsid w:val="00673B61"/>
    <w:rsid w:val="006748C3"/>
    <w:rsid w:val="00674EE5"/>
    <w:rsid w:val="006769BC"/>
    <w:rsid w:val="00677067"/>
    <w:rsid w:val="006806CD"/>
    <w:rsid w:val="0068296B"/>
    <w:rsid w:val="0068492F"/>
    <w:rsid w:val="00685177"/>
    <w:rsid w:val="00685C6E"/>
    <w:rsid w:val="00690888"/>
    <w:rsid w:val="00690BFD"/>
    <w:rsid w:val="006925ED"/>
    <w:rsid w:val="0069515A"/>
    <w:rsid w:val="006967D5"/>
    <w:rsid w:val="006A1773"/>
    <w:rsid w:val="006A1C03"/>
    <w:rsid w:val="006A220F"/>
    <w:rsid w:val="006A409E"/>
    <w:rsid w:val="006A5531"/>
    <w:rsid w:val="006A5C78"/>
    <w:rsid w:val="006A6E07"/>
    <w:rsid w:val="006B0AAA"/>
    <w:rsid w:val="006B19FD"/>
    <w:rsid w:val="006B3BD2"/>
    <w:rsid w:val="006B48CA"/>
    <w:rsid w:val="006B5F33"/>
    <w:rsid w:val="006B74E3"/>
    <w:rsid w:val="006C1190"/>
    <w:rsid w:val="006C1295"/>
    <w:rsid w:val="006C3A3E"/>
    <w:rsid w:val="006D1928"/>
    <w:rsid w:val="006D33FA"/>
    <w:rsid w:val="006D4C1C"/>
    <w:rsid w:val="006D67A6"/>
    <w:rsid w:val="006D7FC5"/>
    <w:rsid w:val="006E1322"/>
    <w:rsid w:val="006E328F"/>
    <w:rsid w:val="006E5625"/>
    <w:rsid w:val="006E7C69"/>
    <w:rsid w:val="006F07EE"/>
    <w:rsid w:val="006F1456"/>
    <w:rsid w:val="006F1F33"/>
    <w:rsid w:val="006F6CFC"/>
    <w:rsid w:val="006F6E2C"/>
    <w:rsid w:val="00700199"/>
    <w:rsid w:val="00700EF8"/>
    <w:rsid w:val="007017D9"/>
    <w:rsid w:val="00701B7A"/>
    <w:rsid w:val="007031DC"/>
    <w:rsid w:val="00703826"/>
    <w:rsid w:val="0070653C"/>
    <w:rsid w:val="00706D57"/>
    <w:rsid w:val="0070712D"/>
    <w:rsid w:val="007077A2"/>
    <w:rsid w:val="00707C92"/>
    <w:rsid w:val="007125C2"/>
    <w:rsid w:val="00712F63"/>
    <w:rsid w:val="007145EB"/>
    <w:rsid w:val="00722F55"/>
    <w:rsid w:val="0072336E"/>
    <w:rsid w:val="00723F65"/>
    <w:rsid w:val="007258D9"/>
    <w:rsid w:val="0073033C"/>
    <w:rsid w:val="007306BD"/>
    <w:rsid w:val="007316EA"/>
    <w:rsid w:val="007328C4"/>
    <w:rsid w:val="00733C6F"/>
    <w:rsid w:val="00736C90"/>
    <w:rsid w:val="007370E8"/>
    <w:rsid w:val="00741191"/>
    <w:rsid w:val="007436E2"/>
    <w:rsid w:val="00744524"/>
    <w:rsid w:val="007458CE"/>
    <w:rsid w:val="00746072"/>
    <w:rsid w:val="00746477"/>
    <w:rsid w:val="0075195F"/>
    <w:rsid w:val="0075361A"/>
    <w:rsid w:val="0075604E"/>
    <w:rsid w:val="0075782A"/>
    <w:rsid w:val="00760529"/>
    <w:rsid w:val="00761BEC"/>
    <w:rsid w:val="00763AE8"/>
    <w:rsid w:val="0076715F"/>
    <w:rsid w:val="007707E5"/>
    <w:rsid w:val="00772595"/>
    <w:rsid w:val="00772A39"/>
    <w:rsid w:val="00773DEF"/>
    <w:rsid w:val="007766B5"/>
    <w:rsid w:val="00780A44"/>
    <w:rsid w:val="00780E0F"/>
    <w:rsid w:val="0078107E"/>
    <w:rsid w:val="007853DC"/>
    <w:rsid w:val="00785755"/>
    <w:rsid w:val="00785E90"/>
    <w:rsid w:val="007906E5"/>
    <w:rsid w:val="0079205E"/>
    <w:rsid w:val="00792E0A"/>
    <w:rsid w:val="0079377A"/>
    <w:rsid w:val="0079592E"/>
    <w:rsid w:val="00796E33"/>
    <w:rsid w:val="007A16C1"/>
    <w:rsid w:val="007A49EA"/>
    <w:rsid w:val="007A7526"/>
    <w:rsid w:val="007A7C6E"/>
    <w:rsid w:val="007A7CCF"/>
    <w:rsid w:val="007B081B"/>
    <w:rsid w:val="007B0F55"/>
    <w:rsid w:val="007B1079"/>
    <w:rsid w:val="007B1A04"/>
    <w:rsid w:val="007B1D7E"/>
    <w:rsid w:val="007B1DB8"/>
    <w:rsid w:val="007B3344"/>
    <w:rsid w:val="007B39CE"/>
    <w:rsid w:val="007B46D0"/>
    <w:rsid w:val="007C0760"/>
    <w:rsid w:val="007C42B1"/>
    <w:rsid w:val="007C5B0B"/>
    <w:rsid w:val="007C6C20"/>
    <w:rsid w:val="007C7DCD"/>
    <w:rsid w:val="007D12D8"/>
    <w:rsid w:val="007D1381"/>
    <w:rsid w:val="007D1C30"/>
    <w:rsid w:val="007D25F9"/>
    <w:rsid w:val="007D3AE5"/>
    <w:rsid w:val="007D688A"/>
    <w:rsid w:val="007D699E"/>
    <w:rsid w:val="007D6FF4"/>
    <w:rsid w:val="007E0B2D"/>
    <w:rsid w:val="007E16C5"/>
    <w:rsid w:val="007E29EF"/>
    <w:rsid w:val="007E3033"/>
    <w:rsid w:val="007E31D7"/>
    <w:rsid w:val="007E3C13"/>
    <w:rsid w:val="007E3D48"/>
    <w:rsid w:val="007E46DB"/>
    <w:rsid w:val="007E4DA1"/>
    <w:rsid w:val="007F0B28"/>
    <w:rsid w:val="007F122F"/>
    <w:rsid w:val="007F152A"/>
    <w:rsid w:val="007F2C63"/>
    <w:rsid w:val="007F430E"/>
    <w:rsid w:val="007F581F"/>
    <w:rsid w:val="007F5ED0"/>
    <w:rsid w:val="00800A1A"/>
    <w:rsid w:val="0080660E"/>
    <w:rsid w:val="008101B0"/>
    <w:rsid w:val="008141F0"/>
    <w:rsid w:val="008142D3"/>
    <w:rsid w:val="00814719"/>
    <w:rsid w:val="00815427"/>
    <w:rsid w:val="00816385"/>
    <w:rsid w:val="00820318"/>
    <w:rsid w:val="008206C2"/>
    <w:rsid w:val="00820B77"/>
    <w:rsid w:val="00821F97"/>
    <w:rsid w:val="0082448A"/>
    <w:rsid w:val="00825C05"/>
    <w:rsid w:val="00827ADB"/>
    <w:rsid w:val="00831BC6"/>
    <w:rsid w:val="00832822"/>
    <w:rsid w:val="0083285C"/>
    <w:rsid w:val="00832AC0"/>
    <w:rsid w:val="0083445F"/>
    <w:rsid w:val="00841A0A"/>
    <w:rsid w:val="0084219D"/>
    <w:rsid w:val="008438BF"/>
    <w:rsid w:val="008444D3"/>
    <w:rsid w:val="0084793B"/>
    <w:rsid w:val="00853372"/>
    <w:rsid w:val="008541FD"/>
    <w:rsid w:val="008565BD"/>
    <w:rsid w:val="008609BE"/>
    <w:rsid w:val="008616B3"/>
    <w:rsid w:val="0086275C"/>
    <w:rsid w:val="00863542"/>
    <w:rsid w:val="0086374A"/>
    <w:rsid w:val="00867433"/>
    <w:rsid w:val="00870C9E"/>
    <w:rsid w:val="00870FD7"/>
    <w:rsid w:val="00871C66"/>
    <w:rsid w:val="008735FF"/>
    <w:rsid w:val="00874A3B"/>
    <w:rsid w:val="008752E9"/>
    <w:rsid w:val="00875AD7"/>
    <w:rsid w:val="00876304"/>
    <w:rsid w:val="0087649D"/>
    <w:rsid w:val="008764D7"/>
    <w:rsid w:val="00880156"/>
    <w:rsid w:val="00881E3D"/>
    <w:rsid w:val="00885654"/>
    <w:rsid w:val="0088579D"/>
    <w:rsid w:val="00885B51"/>
    <w:rsid w:val="008871B2"/>
    <w:rsid w:val="00890A7C"/>
    <w:rsid w:val="00890FDC"/>
    <w:rsid w:val="00891060"/>
    <w:rsid w:val="00893630"/>
    <w:rsid w:val="00893C43"/>
    <w:rsid w:val="00894495"/>
    <w:rsid w:val="008949FC"/>
    <w:rsid w:val="0089554B"/>
    <w:rsid w:val="00895A47"/>
    <w:rsid w:val="008A162A"/>
    <w:rsid w:val="008A2441"/>
    <w:rsid w:val="008A32E9"/>
    <w:rsid w:val="008A44A3"/>
    <w:rsid w:val="008A498D"/>
    <w:rsid w:val="008B1A03"/>
    <w:rsid w:val="008B1BB5"/>
    <w:rsid w:val="008B208A"/>
    <w:rsid w:val="008B2224"/>
    <w:rsid w:val="008B569A"/>
    <w:rsid w:val="008C1BA8"/>
    <w:rsid w:val="008C1C1E"/>
    <w:rsid w:val="008C2267"/>
    <w:rsid w:val="008C2446"/>
    <w:rsid w:val="008C2BD3"/>
    <w:rsid w:val="008C40C5"/>
    <w:rsid w:val="008C647C"/>
    <w:rsid w:val="008C6CE8"/>
    <w:rsid w:val="008C7BE5"/>
    <w:rsid w:val="008D071B"/>
    <w:rsid w:val="008D0E71"/>
    <w:rsid w:val="008D2BCA"/>
    <w:rsid w:val="008D306A"/>
    <w:rsid w:val="008D5742"/>
    <w:rsid w:val="008D779C"/>
    <w:rsid w:val="008E06C3"/>
    <w:rsid w:val="008E1FF4"/>
    <w:rsid w:val="008E4858"/>
    <w:rsid w:val="008E6D23"/>
    <w:rsid w:val="008E7577"/>
    <w:rsid w:val="008F403A"/>
    <w:rsid w:val="008F4D2A"/>
    <w:rsid w:val="008F5A42"/>
    <w:rsid w:val="008F6544"/>
    <w:rsid w:val="009005C9"/>
    <w:rsid w:val="00903899"/>
    <w:rsid w:val="00904642"/>
    <w:rsid w:val="00904A6E"/>
    <w:rsid w:val="00904E67"/>
    <w:rsid w:val="00906405"/>
    <w:rsid w:val="00910E3E"/>
    <w:rsid w:val="00911604"/>
    <w:rsid w:val="009126C0"/>
    <w:rsid w:val="00912848"/>
    <w:rsid w:val="0091321A"/>
    <w:rsid w:val="00913D1F"/>
    <w:rsid w:val="00914648"/>
    <w:rsid w:val="009160ED"/>
    <w:rsid w:val="00916A45"/>
    <w:rsid w:val="00920109"/>
    <w:rsid w:val="00921104"/>
    <w:rsid w:val="00921240"/>
    <w:rsid w:val="00922DDD"/>
    <w:rsid w:val="00922FEA"/>
    <w:rsid w:val="009262C7"/>
    <w:rsid w:val="009309D1"/>
    <w:rsid w:val="00930B31"/>
    <w:rsid w:val="00930EDF"/>
    <w:rsid w:val="00931E60"/>
    <w:rsid w:val="00932FD1"/>
    <w:rsid w:val="00933583"/>
    <w:rsid w:val="009340E8"/>
    <w:rsid w:val="00934342"/>
    <w:rsid w:val="00934CC4"/>
    <w:rsid w:val="00935394"/>
    <w:rsid w:val="009373D6"/>
    <w:rsid w:val="00941FF9"/>
    <w:rsid w:val="00942C88"/>
    <w:rsid w:val="009443D5"/>
    <w:rsid w:val="0094515E"/>
    <w:rsid w:val="009458E0"/>
    <w:rsid w:val="009459A1"/>
    <w:rsid w:val="00946118"/>
    <w:rsid w:val="009461CF"/>
    <w:rsid w:val="009501D3"/>
    <w:rsid w:val="0095034A"/>
    <w:rsid w:val="009504A6"/>
    <w:rsid w:val="00953D57"/>
    <w:rsid w:val="00955987"/>
    <w:rsid w:val="00955D37"/>
    <w:rsid w:val="00955F40"/>
    <w:rsid w:val="00962F20"/>
    <w:rsid w:val="009645D9"/>
    <w:rsid w:val="00965161"/>
    <w:rsid w:val="0096631E"/>
    <w:rsid w:val="009665DE"/>
    <w:rsid w:val="0097078B"/>
    <w:rsid w:val="00974B9B"/>
    <w:rsid w:val="00975CED"/>
    <w:rsid w:val="00976DFF"/>
    <w:rsid w:val="00980BE2"/>
    <w:rsid w:val="0098312D"/>
    <w:rsid w:val="009833B7"/>
    <w:rsid w:val="00984388"/>
    <w:rsid w:val="00984E8D"/>
    <w:rsid w:val="00991C9A"/>
    <w:rsid w:val="00991F03"/>
    <w:rsid w:val="009948CE"/>
    <w:rsid w:val="0099559C"/>
    <w:rsid w:val="0099563F"/>
    <w:rsid w:val="00996585"/>
    <w:rsid w:val="00996DB7"/>
    <w:rsid w:val="009973AE"/>
    <w:rsid w:val="009A0FE5"/>
    <w:rsid w:val="009A4F67"/>
    <w:rsid w:val="009B51A6"/>
    <w:rsid w:val="009B663B"/>
    <w:rsid w:val="009B6ACA"/>
    <w:rsid w:val="009B72F4"/>
    <w:rsid w:val="009C0293"/>
    <w:rsid w:val="009C049F"/>
    <w:rsid w:val="009C097E"/>
    <w:rsid w:val="009C1897"/>
    <w:rsid w:val="009C2AA2"/>
    <w:rsid w:val="009C5925"/>
    <w:rsid w:val="009C62ED"/>
    <w:rsid w:val="009D003F"/>
    <w:rsid w:val="009D1C6A"/>
    <w:rsid w:val="009D29CE"/>
    <w:rsid w:val="009D5109"/>
    <w:rsid w:val="009E02AD"/>
    <w:rsid w:val="009E3533"/>
    <w:rsid w:val="009E4C2A"/>
    <w:rsid w:val="009E5BE6"/>
    <w:rsid w:val="009E5E80"/>
    <w:rsid w:val="009E726A"/>
    <w:rsid w:val="009F04B7"/>
    <w:rsid w:val="009F0787"/>
    <w:rsid w:val="009F0E05"/>
    <w:rsid w:val="009F17E9"/>
    <w:rsid w:val="009F2B94"/>
    <w:rsid w:val="009F303D"/>
    <w:rsid w:val="009F4A4C"/>
    <w:rsid w:val="009F642C"/>
    <w:rsid w:val="009F7C08"/>
    <w:rsid w:val="00A0061B"/>
    <w:rsid w:val="00A00A31"/>
    <w:rsid w:val="00A023C8"/>
    <w:rsid w:val="00A02602"/>
    <w:rsid w:val="00A060B0"/>
    <w:rsid w:val="00A07113"/>
    <w:rsid w:val="00A10C30"/>
    <w:rsid w:val="00A113AE"/>
    <w:rsid w:val="00A11C9A"/>
    <w:rsid w:val="00A2010A"/>
    <w:rsid w:val="00A2183A"/>
    <w:rsid w:val="00A26699"/>
    <w:rsid w:val="00A26908"/>
    <w:rsid w:val="00A26EC2"/>
    <w:rsid w:val="00A27F42"/>
    <w:rsid w:val="00A32446"/>
    <w:rsid w:val="00A336B4"/>
    <w:rsid w:val="00A409B3"/>
    <w:rsid w:val="00A419EA"/>
    <w:rsid w:val="00A41A3B"/>
    <w:rsid w:val="00A44CDD"/>
    <w:rsid w:val="00A46649"/>
    <w:rsid w:val="00A467A1"/>
    <w:rsid w:val="00A523BE"/>
    <w:rsid w:val="00A5278E"/>
    <w:rsid w:val="00A53514"/>
    <w:rsid w:val="00A54DFB"/>
    <w:rsid w:val="00A56239"/>
    <w:rsid w:val="00A573BA"/>
    <w:rsid w:val="00A57FE0"/>
    <w:rsid w:val="00A614DF"/>
    <w:rsid w:val="00A62530"/>
    <w:rsid w:val="00A6296C"/>
    <w:rsid w:val="00A647C9"/>
    <w:rsid w:val="00A64D58"/>
    <w:rsid w:val="00A721BB"/>
    <w:rsid w:val="00A75260"/>
    <w:rsid w:val="00A77DCC"/>
    <w:rsid w:val="00A811F7"/>
    <w:rsid w:val="00A8133F"/>
    <w:rsid w:val="00A825D6"/>
    <w:rsid w:val="00A83FAF"/>
    <w:rsid w:val="00A85A0A"/>
    <w:rsid w:val="00A8628C"/>
    <w:rsid w:val="00A864DF"/>
    <w:rsid w:val="00A87177"/>
    <w:rsid w:val="00A91393"/>
    <w:rsid w:val="00A922CE"/>
    <w:rsid w:val="00A9273E"/>
    <w:rsid w:val="00A92EB9"/>
    <w:rsid w:val="00A93BA9"/>
    <w:rsid w:val="00A9404A"/>
    <w:rsid w:val="00AA034D"/>
    <w:rsid w:val="00AA1893"/>
    <w:rsid w:val="00AA2C4A"/>
    <w:rsid w:val="00AA5733"/>
    <w:rsid w:val="00AA5BB1"/>
    <w:rsid w:val="00AA6E9B"/>
    <w:rsid w:val="00AB3D02"/>
    <w:rsid w:val="00AB3F01"/>
    <w:rsid w:val="00AB48E5"/>
    <w:rsid w:val="00AB7042"/>
    <w:rsid w:val="00AC0345"/>
    <w:rsid w:val="00AC0DD9"/>
    <w:rsid w:val="00AC1984"/>
    <w:rsid w:val="00AC1D2F"/>
    <w:rsid w:val="00AC37C7"/>
    <w:rsid w:val="00AC3BBE"/>
    <w:rsid w:val="00AC55AD"/>
    <w:rsid w:val="00AD0AF5"/>
    <w:rsid w:val="00AD184E"/>
    <w:rsid w:val="00AD45B6"/>
    <w:rsid w:val="00AE1FC5"/>
    <w:rsid w:val="00AE4389"/>
    <w:rsid w:val="00AE58CA"/>
    <w:rsid w:val="00AE5FBD"/>
    <w:rsid w:val="00AE764C"/>
    <w:rsid w:val="00AE7CBB"/>
    <w:rsid w:val="00AF27C6"/>
    <w:rsid w:val="00AF507D"/>
    <w:rsid w:val="00AF6EED"/>
    <w:rsid w:val="00B00642"/>
    <w:rsid w:val="00B01C21"/>
    <w:rsid w:val="00B01D9A"/>
    <w:rsid w:val="00B03181"/>
    <w:rsid w:val="00B036F0"/>
    <w:rsid w:val="00B06EC0"/>
    <w:rsid w:val="00B11805"/>
    <w:rsid w:val="00B13761"/>
    <w:rsid w:val="00B14777"/>
    <w:rsid w:val="00B15946"/>
    <w:rsid w:val="00B22FE4"/>
    <w:rsid w:val="00B23980"/>
    <w:rsid w:val="00B26C72"/>
    <w:rsid w:val="00B30FFC"/>
    <w:rsid w:val="00B31944"/>
    <w:rsid w:val="00B339CA"/>
    <w:rsid w:val="00B34598"/>
    <w:rsid w:val="00B41138"/>
    <w:rsid w:val="00B41971"/>
    <w:rsid w:val="00B4289A"/>
    <w:rsid w:val="00B42C73"/>
    <w:rsid w:val="00B50421"/>
    <w:rsid w:val="00B504DB"/>
    <w:rsid w:val="00B53AAB"/>
    <w:rsid w:val="00B53C6E"/>
    <w:rsid w:val="00B541D7"/>
    <w:rsid w:val="00B56746"/>
    <w:rsid w:val="00B568B3"/>
    <w:rsid w:val="00B62DFF"/>
    <w:rsid w:val="00B64BEE"/>
    <w:rsid w:val="00B72132"/>
    <w:rsid w:val="00B72257"/>
    <w:rsid w:val="00B72C47"/>
    <w:rsid w:val="00B73634"/>
    <w:rsid w:val="00B75251"/>
    <w:rsid w:val="00B767C6"/>
    <w:rsid w:val="00B76AAE"/>
    <w:rsid w:val="00B77C9C"/>
    <w:rsid w:val="00B804CD"/>
    <w:rsid w:val="00B8240C"/>
    <w:rsid w:val="00B84CBC"/>
    <w:rsid w:val="00B8645C"/>
    <w:rsid w:val="00B90129"/>
    <w:rsid w:val="00B9014F"/>
    <w:rsid w:val="00B90162"/>
    <w:rsid w:val="00B91C5A"/>
    <w:rsid w:val="00B91F08"/>
    <w:rsid w:val="00B920EF"/>
    <w:rsid w:val="00B93BD5"/>
    <w:rsid w:val="00B94549"/>
    <w:rsid w:val="00B9627B"/>
    <w:rsid w:val="00B9671E"/>
    <w:rsid w:val="00B97447"/>
    <w:rsid w:val="00BA04B6"/>
    <w:rsid w:val="00BA5FEE"/>
    <w:rsid w:val="00BA724A"/>
    <w:rsid w:val="00BA7B81"/>
    <w:rsid w:val="00BB4775"/>
    <w:rsid w:val="00BB4FCD"/>
    <w:rsid w:val="00BB6A10"/>
    <w:rsid w:val="00BB6EF1"/>
    <w:rsid w:val="00BC2773"/>
    <w:rsid w:val="00BC33AA"/>
    <w:rsid w:val="00BC452A"/>
    <w:rsid w:val="00BC6211"/>
    <w:rsid w:val="00BD2118"/>
    <w:rsid w:val="00BD2B2B"/>
    <w:rsid w:val="00BD3738"/>
    <w:rsid w:val="00BD43DC"/>
    <w:rsid w:val="00BD4933"/>
    <w:rsid w:val="00BD7499"/>
    <w:rsid w:val="00BE0B5D"/>
    <w:rsid w:val="00BE27C1"/>
    <w:rsid w:val="00BE2FF2"/>
    <w:rsid w:val="00BE3BAE"/>
    <w:rsid w:val="00BF0E97"/>
    <w:rsid w:val="00BF328C"/>
    <w:rsid w:val="00BF7880"/>
    <w:rsid w:val="00C00505"/>
    <w:rsid w:val="00C00BD3"/>
    <w:rsid w:val="00C0113E"/>
    <w:rsid w:val="00C02AA6"/>
    <w:rsid w:val="00C043F4"/>
    <w:rsid w:val="00C06A16"/>
    <w:rsid w:val="00C1165D"/>
    <w:rsid w:val="00C15479"/>
    <w:rsid w:val="00C15AFC"/>
    <w:rsid w:val="00C1609B"/>
    <w:rsid w:val="00C16FD2"/>
    <w:rsid w:val="00C21974"/>
    <w:rsid w:val="00C22301"/>
    <w:rsid w:val="00C24E18"/>
    <w:rsid w:val="00C25017"/>
    <w:rsid w:val="00C269DD"/>
    <w:rsid w:val="00C3052C"/>
    <w:rsid w:val="00C336E4"/>
    <w:rsid w:val="00C365CF"/>
    <w:rsid w:val="00C405DE"/>
    <w:rsid w:val="00C41860"/>
    <w:rsid w:val="00C43D22"/>
    <w:rsid w:val="00C44EDF"/>
    <w:rsid w:val="00C45154"/>
    <w:rsid w:val="00C45B39"/>
    <w:rsid w:val="00C4605D"/>
    <w:rsid w:val="00C46905"/>
    <w:rsid w:val="00C46CF5"/>
    <w:rsid w:val="00C52D7E"/>
    <w:rsid w:val="00C5353E"/>
    <w:rsid w:val="00C54920"/>
    <w:rsid w:val="00C55FC1"/>
    <w:rsid w:val="00C60C06"/>
    <w:rsid w:val="00C64270"/>
    <w:rsid w:val="00C64BDA"/>
    <w:rsid w:val="00C65297"/>
    <w:rsid w:val="00C6695B"/>
    <w:rsid w:val="00C673D2"/>
    <w:rsid w:val="00C70105"/>
    <w:rsid w:val="00C7172E"/>
    <w:rsid w:val="00C7279F"/>
    <w:rsid w:val="00C73EB3"/>
    <w:rsid w:val="00C74B48"/>
    <w:rsid w:val="00C760EB"/>
    <w:rsid w:val="00C7639E"/>
    <w:rsid w:val="00C82D90"/>
    <w:rsid w:val="00C838A8"/>
    <w:rsid w:val="00C84F91"/>
    <w:rsid w:val="00C8590A"/>
    <w:rsid w:val="00C86607"/>
    <w:rsid w:val="00C91044"/>
    <w:rsid w:val="00C921A0"/>
    <w:rsid w:val="00C92347"/>
    <w:rsid w:val="00C94596"/>
    <w:rsid w:val="00C94FBD"/>
    <w:rsid w:val="00C963A3"/>
    <w:rsid w:val="00C97332"/>
    <w:rsid w:val="00CA0BDD"/>
    <w:rsid w:val="00CA0D49"/>
    <w:rsid w:val="00CA1DA5"/>
    <w:rsid w:val="00CA2D15"/>
    <w:rsid w:val="00CA6659"/>
    <w:rsid w:val="00CB0100"/>
    <w:rsid w:val="00CB0FAE"/>
    <w:rsid w:val="00CB1625"/>
    <w:rsid w:val="00CB20E1"/>
    <w:rsid w:val="00CB27C3"/>
    <w:rsid w:val="00CB3A99"/>
    <w:rsid w:val="00CB3B8A"/>
    <w:rsid w:val="00CB50A6"/>
    <w:rsid w:val="00CB7B7A"/>
    <w:rsid w:val="00CC2288"/>
    <w:rsid w:val="00CC3202"/>
    <w:rsid w:val="00CC40F6"/>
    <w:rsid w:val="00CC6973"/>
    <w:rsid w:val="00CC721B"/>
    <w:rsid w:val="00CC7FCA"/>
    <w:rsid w:val="00CD14A1"/>
    <w:rsid w:val="00CD15EC"/>
    <w:rsid w:val="00CD2554"/>
    <w:rsid w:val="00CD747B"/>
    <w:rsid w:val="00CD7DFB"/>
    <w:rsid w:val="00CE00FE"/>
    <w:rsid w:val="00CE14AD"/>
    <w:rsid w:val="00CE1ED9"/>
    <w:rsid w:val="00CE424E"/>
    <w:rsid w:val="00CE68B6"/>
    <w:rsid w:val="00CF0FD8"/>
    <w:rsid w:val="00CF4CA7"/>
    <w:rsid w:val="00CF5689"/>
    <w:rsid w:val="00D00F18"/>
    <w:rsid w:val="00D03110"/>
    <w:rsid w:val="00D043E8"/>
    <w:rsid w:val="00D0513E"/>
    <w:rsid w:val="00D05F83"/>
    <w:rsid w:val="00D07E24"/>
    <w:rsid w:val="00D10EDA"/>
    <w:rsid w:val="00D1360C"/>
    <w:rsid w:val="00D15A29"/>
    <w:rsid w:val="00D17996"/>
    <w:rsid w:val="00D24DFD"/>
    <w:rsid w:val="00D27EBA"/>
    <w:rsid w:val="00D30557"/>
    <w:rsid w:val="00D31DEB"/>
    <w:rsid w:val="00D33628"/>
    <w:rsid w:val="00D42638"/>
    <w:rsid w:val="00D45450"/>
    <w:rsid w:val="00D45813"/>
    <w:rsid w:val="00D45C54"/>
    <w:rsid w:val="00D46016"/>
    <w:rsid w:val="00D471EE"/>
    <w:rsid w:val="00D50612"/>
    <w:rsid w:val="00D50A7D"/>
    <w:rsid w:val="00D52311"/>
    <w:rsid w:val="00D53E22"/>
    <w:rsid w:val="00D56BD2"/>
    <w:rsid w:val="00D571F2"/>
    <w:rsid w:val="00D57437"/>
    <w:rsid w:val="00D6033A"/>
    <w:rsid w:val="00D6406A"/>
    <w:rsid w:val="00D64834"/>
    <w:rsid w:val="00D66D13"/>
    <w:rsid w:val="00D6772C"/>
    <w:rsid w:val="00D70F6B"/>
    <w:rsid w:val="00D72998"/>
    <w:rsid w:val="00D75025"/>
    <w:rsid w:val="00D776E7"/>
    <w:rsid w:val="00D77AB8"/>
    <w:rsid w:val="00D77C6B"/>
    <w:rsid w:val="00D80D8E"/>
    <w:rsid w:val="00D814EC"/>
    <w:rsid w:val="00D84409"/>
    <w:rsid w:val="00D84AA0"/>
    <w:rsid w:val="00D857E0"/>
    <w:rsid w:val="00D8724F"/>
    <w:rsid w:val="00D8733A"/>
    <w:rsid w:val="00D87F43"/>
    <w:rsid w:val="00D90AC7"/>
    <w:rsid w:val="00D93801"/>
    <w:rsid w:val="00D94EF1"/>
    <w:rsid w:val="00D9542C"/>
    <w:rsid w:val="00D964CE"/>
    <w:rsid w:val="00D96D8E"/>
    <w:rsid w:val="00D974B3"/>
    <w:rsid w:val="00DA0402"/>
    <w:rsid w:val="00DA108A"/>
    <w:rsid w:val="00DA1D75"/>
    <w:rsid w:val="00DA1F82"/>
    <w:rsid w:val="00DA229E"/>
    <w:rsid w:val="00DA29FE"/>
    <w:rsid w:val="00DA429C"/>
    <w:rsid w:val="00DA4593"/>
    <w:rsid w:val="00DA581A"/>
    <w:rsid w:val="00DA6812"/>
    <w:rsid w:val="00DA6CA8"/>
    <w:rsid w:val="00DA6D3F"/>
    <w:rsid w:val="00DB0256"/>
    <w:rsid w:val="00DB132F"/>
    <w:rsid w:val="00DB6AB5"/>
    <w:rsid w:val="00DB7045"/>
    <w:rsid w:val="00DB775C"/>
    <w:rsid w:val="00DB7CB8"/>
    <w:rsid w:val="00DC21C7"/>
    <w:rsid w:val="00DC6645"/>
    <w:rsid w:val="00DC7B76"/>
    <w:rsid w:val="00DC7BDB"/>
    <w:rsid w:val="00DD16CA"/>
    <w:rsid w:val="00DD392D"/>
    <w:rsid w:val="00DD44B0"/>
    <w:rsid w:val="00DD495B"/>
    <w:rsid w:val="00DD7BF0"/>
    <w:rsid w:val="00DE164A"/>
    <w:rsid w:val="00DE1E73"/>
    <w:rsid w:val="00DE241F"/>
    <w:rsid w:val="00DE3198"/>
    <w:rsid w:val="00DE6D31"/>
    <w:rsid w:val="00DE711A"/>
    <w:rsid w:val="00DF145D"/>
    <w:rsid w:val="00DF26FF"/>
    <w:rsid w:val="00DF32C0"/>
    <w:rsid w:val="00DF4E4C"/>
    <w:rsid w:val="00DF6AC8"/>
    <w:rsid w:val="00DF725E"/>
    <w:rsid w:val="00E00FFD"/>
    <w:rsid w:val="00E0266A"/>
    <w:rsid w:val="00E05F4A"/>
    <w:rsid w:val="00E06112"/>
    <w:rsid w:val="00E077C9"/>
    <w:rsid w:val="00E13F8D"/>
    <w:rsid w:val="00E17CEF"/>
    <w:rsid w:val="00E17D2B"/>
    <w:rsid w:val="00E20604"/>
    <w:rsid w:val="00E206E6"/>
    <w:rsid w:val="00E20D0D"/>
    <w:rsid w:val="00E21DC2"/>
    <w:rsid w:val="00E22185"/>
    <w:rsid w:val="00E245E4"/>
    <w:rsid w:val="00E2480D"/>
    <w:rsid w:val="00E32DC5"/>
    <w:rsid w:val="00E3433B"/>
    <w:rsid w:val="00E343FB"/>
    <w:rsid w:val="00E346F3"/>
    <w:rsid w:val="00E34A56"/>
    <w:rsid w:val="00E357E7"/>
    <w:rsid w:val="00E375A0"/>
    <w:rsid w:val="00E376EC"/>
    <w:rsid w:val="00E4062A"/>
    <w:rsid w:val="00E40A29"/>
    <w:rsid w:val="00E456FC"/>
    <w:rsid w:val="00E47C0B"/>
    <w:rsid w:val="00E50198"/>
    <w:rsid w:val="00E502DA"/>
    <w:rsid w:val="00E50785"/>
    <w:rsid w:val="00E516C6"/>
    <w:rsid w:val="00E530B1"/>
    <w:rsid w:val="00E53367"/>
    <w:rsid w:val="00E54206"/>
    <w:rsid w:val="00E57900"/>
    <w:rsid w:val="00E62CC3"/>
    <w:rsid w:val="00E637C6"/>
    <w:rsid w:val="00E708F3"/>
    <w:rsid w:val="00E72D03"/>
    <w:rsid w:val="00E75BE9"/>
    <w:rsid w:val="00E81DA1"/>
    <w:rsid w:val="00E82E0C"/>
    <w:rsid w:val="00E82FA7"/>
    <w:rsid w:val="00E836D6"/>
    <w:rsid w:val="00E83896"/>
    <w:rsid w:val="00E83BF3"/>
    <w:rsid w:val="00E84992"/>
    <w:rsid w:val="00E8690B"/>
    <w:rsid w:val="00E87775"/>
    <w:rsid w:val="00E90B8C"/>
    <w:rsid w:val="00E91EA8"/>
    <w:rsid w:val="00E92332"/>
    <w:rsid w:val="00E925CF"/>
    <w:rsid w:val="00E95032"/>
    <w:rsid w:val="00EA02D5"/>
    <w:rsid w:val="00EA0B1B"/>
    <w:rsid w:val="00EA1DAF"/>
    <w:rsid w:val="00EA4965"/>
    <w:rsid w:val="00EA7CAE"/>
    <w:rsid w:val="00EB1B9A"/>
    <w:rsid w:val="00EB2000"/>
    <w:rsid w:val="00EB3079"/>
    <w:rsid w:val="00EC0795"/>
    <w:rsid w:val="00EC3786"/>
    <w:rsid w:val="00EC5CAA"/>
    <w:rsid w:val="00EC64A6"/>
    <w:rsid w:val="00EC6E5C"/>
    <w:rsid w:val="00ED0B5D"/>
    <w:rsid w:val="00ED0D7B"/>
    <w:rsid w:val="00ED1B59"/>
    <w:rsid w:val="00ED1BFC"/>
    <w:rsid w:val="00ED2B27"/>
    <w:rsid w:val="00ED5BB4"/>
    <w:rsid w:val="00ED631C"/>
    <w:rsid w:val="00ED6E5F"/>
    <w:rsid w:val="00ED7331"/>
    <w:rsid w:val="00ED777D"/>
    <w:rsid w:val="00EE42FD"/>
    <w:rsid w:val="00EE5A20"/>
    <w:rsid w:val="00EE73FE"/>
    <w:rsid w:val="00EE7CA2"/>
    <w:rsid w:val="00EF141A"/>
    <w:rsid w:val="00EF2428"/>
    <w:rsid w:val="00EF5D58"/>
    <w:rsid w:val="00EF5E9A"/>
    <w:rsid w:val="00EF6FB4"/>
    <w:rsid w:val="00EF7891"/>
    <w:rsid w:val="00F00A1E"/>
    <w:rsid w:val="00F01CC5"/>
    <w:rsid w:val="00F02824"/>
    <w:rsid w:val="00F042B5"/>
    <w:rsid w:val="00F05AE3"/>
    <w:rsid w:val="00F067CA"/>
    <w:rsid w:val="00F0729D"/>
    <w:rsid w:val="00F101DA"/>
    <w:rsid w:val="00F110B7"/>
    <w:rsid w:val="00F1309A"/>
    <w:rsid w:val="00F13EA2"/>
    <w:rsid w:val="00F1416E"/>
    <w:rsid w:val="00F17228"/>
    <w:rsid w:val="00F200CA"/>
    <w:rsid w:val="00F22EC8"/>
    <w:rsid w:val="00F23683"/>
    <w:rsid w:val="00F23D31"/>
    <w:rsid w:val="00F23E6A"/>
    <w:rsid w:val="00F2532A"/>
    <w:rsid w:val="00F30112"/>
    <w:rsid w:val="00F3051E"/>
    <w:rsid w:val="00F31FFD"/>
    <w:rsid w:val="00F33D9D"/>
    <w:rsid w:val="00F367EC"/>
    <w:rsid w:val="00F40C75"/>
    <w:rsid w:val="00F41ADB"/>
    <w:rsid w:val="00F43882"/>
    <w:rsid w:val="00F448E6"/>
    <w:rsid w:val="00F45722"/>
    <w:rsid w:val="00F475BC"/>
    <w:rsid w:val="00F521B9"/>
    <w:rsid w:val="00F5334A"/>
    <w:rsid w:val="00F54184"/>
    <w:rsid w:val="00F56C09"/>
    <w:rsid w:val="00F613A4"/>
    <w:rsid w:val="00F62D20"/>
    <w:rsid w:val="00F637DC"/>
    <w:rsid w:val="00F671DF"/>
    <w:rsid w:val="00F734EA"/>
    <w:rsid w:val="00F7414A"/>
    <w:rsid w:val="00F74C0A"/>
    <w:rsid w:val="00F74E1C"/>
    <w:rsid w:val="00F75D9A"/>
    <w:rsid w:val="00F7772F"/>
    <w:rsid w:val="00F81900"/>
    <w:rsid w:val="00F82532"/>
    <w:rsid w:val="00F844CF"/>
    <w:rsid w:val="00F85325"/>
    <w:rsid w:val="00F85BBE"/>
    <w:rsid w:val="00F8621A"/>
    <w:rsid w:val="00F87152"/>
    <w:rsid w:val="00F87B43"/>
    <w:rsid w:val="00F91E4E"/>
    <w:rsid w:val="00F91FCB"/>
    <w:rsid w:val="00F95812"/>
    <w:rsid w:val="00F96D26"/>
    <w:rsid w:val="00F97F6D"/>
    <w:rsid w:val="00FA081E"/>
    <w:rsid w:val="00FA09FA"/>
    <w:rsid w:val="00FA0D76"/>
    <w:rsid w:val="00FA40E6"/>
    <w:rsid w:val="00FA415A"/>
    <w:rsid w:val="00FA46C4"/>
    <w:rsid w:val="00FA599E"/>
    <w:rsid w:val="00FA6436"/>
    <w:rsid w:val="00FA7210"/>
    <w:rsid w:val="00FA7731"/>
    <w:rsid w:val="00FB0260"/>
    <w:rsid w:val="00FB320A"/>
    <w:rsid w:val="00FB3885"/>
    <w:rsid w:val="00FB3A4A"/>
    <w:rsid w:val="00FB73C0"/>
    <w:rsid w:val="00FC0FFE"/>
    <w:rsid w:val="00FC34A2"/>
    <w:rsid w:val="00FC3EAE"/>
    <w:rsid w:val="00FC5144"/>
    <w:rsid w:val="00FC5B56"/>
    <w:rsid w:val="00FC6286"/>
    <w:rsid w:val="00FC7704"/>
    <w:rsid w:val="00FC79D5"/>
    <w:rsid w:val="00FD2161"/>
    <w:rsid w:val="00FD3929"/>
    <w:rsid w:val="00FD682F"/>
    <w:rsid w:val="00FD7437"/>
    <w:rsid w:val="00FE1E01"/>
    <w:rsid w:val="00FE6D07"/>
    <w:rsid w:val="00FF52D5"/>
    <w:rsid w:val="00FF6392"/>
    <w:rsid w:val="00FF65BE"/>
    <w:rsid w:val="00FF7E53"/>
    <w:rsid w:val="02164E14"/>
    <w:rsid w:val="0552789C"/>
    <w:rsid w:val="0BDEEAA1"/>
    <w:rsid w:val="0BED4F6B"/>
    <w:rsid w:val="1B8F947B"/>
    <w:rsid w:val="1F3E0D28"/>
    <w:rsid w:val="1FCF9A60"/>
    <w:rsid w:val="26F9DDDC"/>
    <w:rsid w:val="2BB5C4D0"/>
    <w:rsid w:val="2D601313"/>
    <w:rsid w:val="2EA71FF1"/>
    <w:rsid w:val="33DD2220"/>
    <w:rsid w:val="35FF23A9"/>
    <w:rsid w:val="366415E1"/>
    <w:rsid w:val="36EEF0D9"/>
    <w:rsid w:val="36FDC7F3"/>
    <w:rsid w:val="3767897C"/>
    <w:rsid w:val="3BDFC491"/>
    <w:rsid w:val="3DEB2527"/>
    <w:rsid w:val="3DFB34BC"/>
    <w:rsid w:val="3F3F7056"/>
    <w:rsid w:val="3FDFDC92"/>
    <w:rsid w:val="471F255D"/>
    <w:rsid w:val="48BE34F2"/>
    <w:rsid w:val="4B6FA42E"/>
    <w:rsid w:val="4F775FA5"/>
    <w:rsid w:val="4FAF4477"/>
    <w:rsid w:val="57BF5BCA"/>
    <w:rsid w:val="5B7A5E82"/>
    <w:rsid w:val="5D897128"/>
    <w:rsid w:val="5D8B2A8F"/>
    <w:rsid w:val="5EE725A0"/>
    <w:rsid w:val="5EF3CADF"/>
    <w:rsid w:val="5F7797E7"/>
    <w:rsid w:val="5FFEB0C7"/>
    <w:rsid w:val="60F02090"/>
    <w:rsid w:val="61FF1E31"/>
    <w:rsid w:val="65F56979"/>
    <w:rsid w:val="665A1E4C"/>
    <w:rsid w:val="69D37B34"/>
    <w:rsid w:val="6AB49F6E"/>
    <w:rsid w:val="6B3FE2A2"/>
    <w:rsid w:val="6B4E6C0B"/>
    <w:rsid w:val="6FBF0C25"/>
    <w:rsid w:val="6FDCF8D5"/>
    <w:rsid w:val="7196B9B6"/>
    <w:rsid w:val="738335D5"/>
    <w:rsid w:val="73914A77"/>
    <w:rsid w:val="74F97099"/>
    <w:rsid w:val="766ED489"/>
    <w:rsid w:val="767BECE9"/>
    <w:rsid w:val="77FF4BC1"/>
    <w:rsid w:val="7BBF29F1"/>
    <w:rsid w:val="7CBF7265"/>
    <w:rsid w:val="7D7894E1"/>
    <w:rsid w:val="7DFFD064"/>
    <w:rsid w:val="7E254C2F"/>
    <w:rsid w:val="7EDE0378"/>
    <w:rsid w:val="7EEAFA68"/>
    <w:rsid w:val="7EF45037"/>
    <w:rsid w:val="7EFBB78C"/>
    <w:rsid w:val="7FADF7BF"/>
    <w:rsid w:val="7FEBE7D4"/>
    <w:rsid w:val="7FFC33BA"/>
    <w:rsid w:val="7FFDB963"/>
    <w:rsid w:val="7FFEE689"/>
    <w:rsid w:val="7FFF8418"/>
    <w:rsid w:val="7FFFE7D0"/>
    <w:rsid w:val="AC5FF192"/>
    <w:rsid w:val="AC8BB31C"/>
    <w:rsid w:val="B9BFA702"/>
    <w:rsid w:val="BD3F7259"/>
    <w:rsid w:val="BDFF7E3E"/>
    <w:rsid w:val="BF7B0C39"/>
    <w:rsid w:val="BFFBFF8C"/>
    <w:rsid w:val="BFFFEC51"/>
    <w:rsid w:val="CF7535EA"/>
    <w:rsid w:val="D13BE2AE"/>
    <w:rsid w:val="D6D9FA9A"/>
    <w:rsid w:val="D75C4D88"/>
    <w:rsid w:val="DBFF04E8"/>
    <w:rsid w:val="DF2586CC"/>
    <w:rsid w:val="DFF1913F"/>
    <w:rsid w:val="DFF95764"/>
    <w:rsid w:val="E3AF731C"/>
    <w:rsid w:val="E3FDCC18"/>
    <w:rsid w:val="E5F5253E"/>
    <w:rsid w:val="E97BB140"/>
    <w:rsid w:val="ECABCBF2"/>
    <w:rsid w:val="ED724250"/>
    <w:rsid w:val="EEF7DFB7"/>
    <w:rsid w:val="EFEF5958"/>
    <w:rsid w:val="EFFBC3AE"/>
    <w:rsid w:val="EFFD412B"/>
    <w:rsid w:val="F0DF17F2"/>
    <w:rsid w:val="F3EFE9AA"/>
    <w:rsid w:val="F4BFEB52"/>
    <w:rsid w:val="F57BA68E"/>
    <w:rsid w:val="F6FF0589"/>
    <w:rsid w:val="F7F8C646"/>
    <w:rsid w:val="FA7F8427"/>
    <w:rsid w:val="FAEAB7FF"/>
    <w:rsid w:val="FBA1A90A"/>
    <w:rsid w:val="FBDFA342"/>
    <w:rsid w:val="FBEFC00E"/>
    <w:rsid w:val="FCBFD1C6"/>
    <w:rsid w:val="FDEA3CD4"/>
    <w:rsid w:val="FEA7956A"/>
    <w:rsid w:val="FEFF1358"/>
    <w:rsid w:val="FF8B5E5E"/>
    <w:rsid w:val="FFBB2D92"/>
    <w:rsid w:val="FFDD7A24"/>
    <w:rsid w:val="FFF52673"/>
    <w:rsid w:val="FFFF15CC"/>
    <w:rsid w:val="FFFFE6D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4"/>
    <w:unhideWhenUsed/>
    <w:qFormat/>
    <w:uiPriority w:val="0"/>
    <w:pPr>
      <w:keepNext/>
      <w:keepLines/>
      <w:spacing w:before="260" w:after="260" w:line="416" w:lineRule="auto"/>
      <w:ind w:firstLine="0" w:firstLineChars="0"/>
      <w:jc w:val="both"/>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4">
    <w:name w:val="Normal Indent"/>
    <w:basedOn w:val="1"/>
    <w:unhideWhenUsed/>
    <w:qFormat/>
    <w:uiPriority w:val="99"/>
    <w:pPr>
      <w:ind w:firstLine="420"/>
    </w:pPr>
  </w:style>
  <w:style w:type="paragraph" w:styleId="5">
    <w:name w:val="annotation text"/>
    <w:basedOn w:val="1"/>
    <w:link w:val="28"/>
    <w:unhideWhenUsed/>
    <w:qFormat/>
    <w:uiPriority w:val="99"/>
  </w:style>
  <w:style w:type="paragraph" w:styleId="6">
    <w:name w:val="Plain Text"/>
    <w:basedOn w:val="1"/>
    <w:link w:val="20"/>
    <w:unhideWhenUsed/>
    <w:qFormat/>
    <w:uiPriority w:val="99"/>
    <w:rPr>
      <w:rFonts w:ascii="宋体" w:hAnsi="Courier New" w:eastAsia="宋体" w:cs="Courier New"/>
      <w:szCs w:val="21"/>
    </w:rPr>
  </w:style>
  <w:style w:type="paragraph" w:styleId="7">
    <w:name w:val="Balloon Text"/>
    <w:basedOn w:val="1"/>
    <w:link w:val="23"/>
    <w:unhideWhenUsed/>
    <w:qFormat/>
    <w:uiPriority w:val="99"/>
    <w:pPr>
      <w:spacing w:line="240" w:lineRule="auto"/>
    </w:pPr>
    <w:rPr>
      <w:sz w:val="18"/>
      <w:szCs w:val="18"/>
    </w:rPr>
  </w:style>
  <w:style w:type="paragraph" w:styleId="8">
    <w:name w:val="footer"/>
    <w:basedOn w:val="1"/>
    <w:link w:val="17"/>
    <w:unhideWhenUsed/>
    <w:qFormat/>
    <w:uiPriority w:val="99"/>
    <w:pPr>
      <w:tabs>
        <w:tab w:val="center" w:pos="4513"/>
        <w:tab w:val="right" w:pos="9026"/>
      </w:tabs>
      <w:snapToGrid w:val="0"/>
      <w:spacing w:line="240" w:lineRule="atLeast"/>
    </w:pPr>
    <w:rPr>
      <w:sz w:val="18"/>
      <w:szCs w:val="18"/>
    </w:rPr>
  </w:style>
  <w:style w:type="paragraph" w:styleId="9">
    <w:name w:val="header"/>
    <w:basedOn w:val="1"/>
    <w:link w:val="16"/>
    <w:unhideWhenUsed/>
    <w:qFormat/>
    <w:uiPriority w:val="99"/>
    <w:pPr>
      <w:pBdr>
        <w:bottom w:val="single" w:color="auto" w:sz="6" w:space="0"/>
      </w:pBdr>
      <w:tabs>
        <w:tab w:val="center" w:pos="4513"/>
        <w:tab w:val="right" w:pos="9026"/>
      </w:tabs>
      <w:snapToGrid w:val="0"/>
      <w:spacing w:line="240" w:lineRule="atLeast"/>
      <w:ind w:firstLine="360"/>
      <w:jc w:val="center"/>
    </w:pPr>
    <w:rPr>
      <w:sz w:val="18"/>
      <w:szCs w:val="18"/>
    </w:rPr>
  </w:style>
  <w:style w:type="paragraph" w:styleId="10">
    <w:name w:val="annotation subject"/>
    <w:basedOn w:val="5"/>
    <w:next w:val="5"/>
    <w:link w:val="29"/>
    <w:unhideWhenUsed/>
    <w:qFormat/>
    <w:uiPriority w:val="99"/>
    <w:rPr>
      <w:b/>
      <w:bCs/>
    </w:rPr>
  </w:style>
  <w:style w:type="character" w:styleId="13">
    <w:name w:val="annotation reference"/>
    <w:basedOn w:val="12"/>
    <w:unhideWhenUsed/>
    <w:qFormat/>
    <w:uiPriority w:val="99"/>
    <w:rPr>
      <w:sz w:val="21"/>
      <w:szCs w:val="21"/>
    </w:rPr>
  </w:style>
  <w:style w:type="character" w:customStyle="1" w:styleId="14">
    <w:name w:val="标题 2 Char"/>
    <w:basedOn w:val="12"/>
    <w:link w:val="3"/>
    <w:qFormat/>
    <w:uiPriority w:val="0"/>
    <w:rPr>
      <w:rFonts w:asciiTheme="majorHAnsi" w:hAnsiTheme="majorHAnsi" w:eastAsiaTheme="majorEastAsia" w:cstheme="majorBidi"/>
      <w:b/>
      <w:bCs/>
      <w:sz w:val="32"/>
      <w:szCs w:val="32"/>
    </w:rPr>
  </w:style>
  <w:style w:type="paragraph" w:customStyle="1" w:styleId="15">
    <w:name w:val="列出段落1"/>
    <w:basedOn w:val="1"/>
    <w:qFormat/>
    <w:uiPriority w:val="34"/>
    <w:pPr>
      <w:spacing w:line="240" w:lineRule="auto"/>
      <w:ind w:firstLine="420"/>
      <w:jc w:val="both"/>
    </w:pPr>
  </w:style>
  <w:style w:type="character" w:customStyle="1" w:styleId="16">
    <w:name w:val="页眉 Char"/>
    <w:basedOn w:val="12"/>
    <w:link w:val="9"/>
    <w:qFormat/>
    <w:uiPriority w:val="99"/>
    <w:rPr>
      <w:sz w:val="18"/>
      <w:szCs w:val="18"/>
    </w:rPr>
  </w:style>
  <w:style w:type="character" w:customStyle="1" w:styleId="17">
    <w:name w:val="页脚 Char"/>
    <w:basedOn w:val="12"/>
    <w:link w:val="8"/>
    <w:qFormat/>
    <w:uiPriority w:val="99"/>
    <w:rPr>
      <w:sz w:val="18"/>
      <w:szCs w:val="18"/>
    </w:rPr>
  </w:style>
  <w:style w:type="character" w:customStyle="1" w:styleId="18">
    <w:name w:val="font11"/>
    <w:basedOn w:val="12"/>
    <w:qFormat/>
    <w:uiPriority w:val="0"/>
    <w:rPr>
      <w:rFonts w:hint="eastAsia" w:ascii="宋体" w:hAnsi="宋体" w:eastAsia="宋体"/>
      <w:color w:val="000000"/>
      <w:sz w:val="18"/>
      <w:szCs w:val="18"/>
      <w:u w:val="none"/>
    </w:rPr>
  </w:style>
  <w:style w:type="paragraph" w:customStyle="1" w:styleId="19">
    <w:name w:val="列出段落2"/>
    <w:basedOn w:val="1"/>
    <w:qFormat/>
    <w:uiPriority w:val="34"/>
    <w:pPr>
      <w:ind w:firstLine="420"/>
    </w:pPr>
  </w:style>
  <w:style w:type="character" w:customStyle="1" w:styleId="20">
    <w:name w:val="纯文本 Char"/>
    <w:basedOn w:val="12"/>
    <w:link w:val="6"/>
    <w:qFormat/>
    <w:uiPriority w:val="99"/>
    <w:rPr>
      <w:rFonts w:ascii="宋体" w:hAnsi="Courier New" w:eastAsia="宋体" w:cs="Courier New"/>
      <w:szCs w:val="21"/>
    </w:rPr>
  </w:style>
  <w:style w:type="character" w:customStyle="1" w:styleId="21">
    <w:name w:val="font31"/>
    <w:basedOn w:val="12"/>
    <w:qFormat/>
    <w:uiPriority w:val="0"/>
    <w:rPr>
      <w:rFonts w:hint="eastAsia" w:ascii="宋体" w:hAnsi="宋体" w:eastAsia="宋体" w:cs="宋体"/>
      <w:color w:val="000000"/>
      <w:sz w:val="20"/>
      <w:szCs w:val="20"/>
      <w:u w:val="none"/>
    </w:rPr>
  </w:style>
  <w:style w:type="character" w:customStyle="1" w:styleId="22">
    <w:name w:val="font71"/>
    <w:basedOn w:val="12"/>
    <w:qFormat/>
    <w:uiPriority w:val="0"/>
    <w:rPr>
      <w:rFonts w:hint="default" w:ascii="Times New Roman" w:hAnsi="Times New Roman" w:cs="Times New Roman"/>
      <w:color w:val="000000"/>
      <w:sz w:val="20"/>
      <w:szCs w:val="20"/>
      <w:u w:val="none"/>
    </w:rPr>
  </w:style>
  <w:style w:type="character" w:customStyle="1" w:styleId="23">
    <w:name w:val="批注框文本 Char"/>
    <w:basedOn w:val="12"/>
    <w:link w:val="7"/>
    <w:semiHidden/>
    <w:qFormat/>
    <w:uiPriority w:val="99"/>
    <w:rPr>
      <w:sz w:val="18"/>
      <w:szCs w:val="18"/>
    </w:rPr>
  </w:style>
  <w:style w:type="paragraph" w:customStyle="1" w:styleId="24">
    <w:name w:val="样式1"/>
    <w:basedOn w:val="9"/>
    <w:link w:val="26"/>
    <w:qFormat/>
    <w:uiPriority w:val="0"/>
  </w:style>
  <w:style w:type="paragraph" w:customStyle="1" w:styleId="25">
    <w:name w:val="样式2"/>
    <w:basedOn w:val="9"/>
    <w:link w:val="27"/>
    <w:qFormat/>
    <w:uiPriority w:val="0"/>
  </w:style>
  <w:style w:type="character" w:customStyle="1" w:styleId="26">
    <w:name w:val="样式1 Char"/>
    <w:basedOn w:val="16"/>
    <w:link w:val="24"/>
    <w:qFormat/>
    <w:uiPriority w:val="0"/>
    <w:rPr>
      <w:sz w:val="18"/>
      <w:szCs w:val="18"/>
    </w:rPr>
  </w:style>
  <w:style w:type="character" w:customStyle="1" w:styleId="27">
    <w:name w:val="样式2 Char"/>
    <w:basedOn w:val="16"/>
    <w:link w:val="25"/>
    <w:qFormat/>
    <w:uiPriority w:val="0"/>
    <w:rPr>
      <w:sz w:val="18"/>
      <w:szCs w:val="18"/>
    </w:rPr>
  </w:style>
  <w:style w:type="character" w:customStyle="1" w:styleId="28">
    <w:name w:val="批注文字 Char"/>
    <w:basedOn w:val="12"/>
    <w:link w:val="5"/>
    <w:semiHidden/>
    <w:qFormat/>
    <w:uiPriority w:val="99"/>
  </w:style>
  <w:style w:type="character" w:customStyle="1" w:styleId="29">
    <w:name w:val="批注主题 Char"/>
    <w:basedOn w:val="28"/>
    <w:link w:val="10"/>
    <w:semiHidden/>
    <w:qFormat/>
    <w:uiPriority w:val="99"/>
    <w:rPr>
      <w:b/>
      <w:bCs/>
    </w:rPr>
  </w:style>
  <w:style w:type="character" w:customStyle="1" w:styleId="30">
    <w:name w:val="NormalCharacter"/>
    <w:link w:val="31"/>
    <w:qFormat/>
    <w:uiPriority w:val="0"/>
  </w:style>
  <w:style w:type="paragraph" w:customStyle="1" w:styleId="31">
    <w:name w:val="UserStyle_6"/>
    <w:basedOn w:val="1"/>
    <w:link w:val="30"/>
    <w:qFormat/>
    <w:uiPriority w:val="0"/>
    <w:pPr>
      <w:spacing w:after="160" w:line="240" w:lineRule="exact"/>
      <w:ind w:firstLine="0" w:firstLineChars="0"/>
    </w:pPr>
  </w:style>
  <w:style w:type="paragraph" w:styleId="32">
    <w:name w:val="List Paragraph"/>
    <w:basedOn w:val="1"/>
    <w:unhideWhenUsed/>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16</Pages>
  <Words>1284</Words>
  <Characters>7321</Characters>
  <Lines>61</Lines>
  <Paragraphs>17</Paragraphs>
  <TotalTime>526</TotalTime>
  <ScaleCrop>false</ScaleCrop>
  <LinksUpToDate>false</LinksUpToDate>
  <CharactersWithSpaces>8588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2020-05-01T08:15:00Z</dcterms:created>
  <dc:creator>User</dc:creator>
  <cp:lastModifiedBy>DELL</cp:lastModifiedBy>
  <cp:lastPrinted>2023-08-08T07:42:26Z</cp:lastPrinted>
  <dcterms:modified xsi:type="dcterms:W3CDTF">2023-08-08T07:45:56Z</dcterms:modified>
  <cp:revision>689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D53BA47F376F4833AF2DFC1D9D740F69</vt:lpwstr>
  </property>
</Properties>
</file>